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66" w:rsidRPr="00B05C66" w:rsidRDefault="00B05C66" w:rsidP="00B05C66">
      <w:pPr>
        <w:pStyle w:val="Heading1KD"/>
        <w:spacing w:line="276" w:lineRule="auto"/>
        <w:contextualSpacing/>
      </w:pPr>
      <w:r>
        <w:t xml:space="preserve">Основные положения </w:t>
      </w:r>
      <w:r w:rsidRPr="00B522DD">
        <w:rPr>
          <w:b w:val="0"/>
        </w:rPr>
        <w:t>учетной политик</w:t>
      </w:r>
      <w:r>
        <w:rPr>
          <w:b w:val="0"/>
        </w:rPr>
        <w:t>и</w:t>
      </w:r>
      <w:r w:rsidRPr="00B522DD">
        <w:rPr>
          <w:b w:val="0"/>
        </w:rPr>
        <w:t xml:space="preserve"> казенного учреждения Управление по делам </w:t>
      </w:r>
      <w:r>
        <w:rPr>
          <w:b w:val="0"/>
        </w:rPr>
        <w:t>гражданской обороны</w:t>
      </w:r>
      <w:r w:rsidRPr="00B522DD">
        <w:rPr>
          <w:b w:val="0"/>
        </w:rPr>
        <w:t xml:space="preserve"> и </w:t>
      </w:r>
      <w:r>
        <w:rPr>
          <w:b w:val="0"/>
        </w:rPr>
        <w:t>чрезвычайным ситуациям</w:t>
      </w:r>
      <w:r w:rsidRPr="00B522DD">
        <w:rPr>
          <w:b w:val="0"/>
        </w:rPr>
        <w:t xml:space="preserve"> Администрации Таймырского Долгано-Ненецкого муниципального района для </w:t>
      </w:r>
      <w:r>
        <w:rPr>
          <w:b w:val="0"/>
        </w:rPr>
        <w:t>публичного раскрытия на официальном сайте в соответствии с приказом Министерства финансов от 30 декабря 201</w:t>
      </w:r>
      <w:r w:rsidR="00955420">
        <w:rPr>
          <w:b w:val="0"/>
        </w:rPr>
        <w:t>7</w:t>
      </w:r>
      <w:r>
        <w:rPr>
          <w:b w:val="0"/>
        </w:rPr>
        <w:t xml:space="preserve"> года № </w:t>
      </w:r>
      <w:r w:rsidR="00955420">
        <w:rPr>
          <w:b w:val="0"/>
        </w:rPr>
        <w:t>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1063F5">
        <w:rPr>
          <w:b w:val="0"/>
        </w:rPr>
        <w:t>.</w:t>
      </w:r>
    </w:p>
    <w:p w:rsidR="00FF6DDB" w:rsidRDefault="00955420" w:rsidP="0016077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5420">
        <w:rPr>
          <w:rFonts w:ascii="Times New Roman" w:hAnsi="Times New Roman" w:cs="Times New Roman"/>
          <w:sz w:val="26"/>
          <w:szCs w:val="26"/>
        </w:rPr>
        <w:t>Организация ведения бюджетного учета и формирование бюджетной отчетности Управления по делам гражданской обороны и чрезвычайным ситуациям Администрации Таймырского Долгано-Ненецкого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(далее – УГОЧС) регламентируется требованиями Федерального закона от 6 декабря 2011 г. № 402-ФЗ «О бухгалтерском учете» (далее – Закон № 402-ФЗ) с учетом положений бюджетного законодательства Российской Федерации и следующими нормативными актами:</w:t>
      </w:r>
    </w:p>
    <w:p w:rsidR="00955420" w:rsidRPr="00955420" w:rsidRDefault="00955420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>приказом Минфина России от 01.12.2010 №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Инструкция № 157н);</w:t>
      </w:r>
    </w:p>
    <w:p w:rsidR="00955420" w:rsidRPr="00955420" w:rsidRDefault="00955420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>приказом Минфина России от 06.12.2010 № 162н "Об утверждении плана счетов бюджетного учета и Инструкции по его применению" (далее – Инструкция № 162н);</w:t>
      </w:r>
    </w:p>
    <w:p w:rsidR="00955420" w:rsidRPr="00955420" w:rsidRDefault="0057185C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hyperlink r:id="rId5" w:anchor="/document/99/550469139/" w:tooltip="О Порядке формирования и применения кодов бюджетной классификации Российской Федерации, их структуре и принципах назначения" w:history="1">
        <w:r w:rsidR="00955420" w:rsidRPr="00955420">
          <w:rPr>
            <w:sz w:val="26"/>
            <w:szCs w:val="26"/>
          </w:rPr>
          <w:t>приказом Минфина от 08.06.2018 № 132н</w:t>
        </w:r>
      </w:hyperlink>
      <w:r w:rsidR="00955420" w:rsidRPr="00955420">
        <w:rPr>
          <w:sz w:val="26"/>
          <w:szCs w:val="26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(далее – приказ № 132н);</w:t>
      </w:r>
    </w:p>
    <w:p w:rsidR="00955420" w:rsidRPr="00955420" w:rsidRDefault="0057185C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hyperlink r:id="rId6" w:anchor="/document/99/555944502/" w:tooltip="Об утверждении Порядка применения классификации операций сектора государственного управления" w:history="1">
        <w:r w:rsidR="00955420" w:rsidRPr="00955420">
          <w:rPr>
            <w:sz w:val="26"/>
            <w:szCs w:val="26"/>
          </w:rPr>
          <w:t>приказом Минфина от 29.11.2017 № 209н</w:t>
        </w:r>
      </w:hyperlink>
      <w:r w:rsidR="00955420" w:rsidRPr="00955420">
        <w:rPr>
          <w:sz w:val="26"/>
          <w:szCs w:val="26"/>
        </w:rPr>
        <w:t xml:space="preserve"> «Об утверждении Порядка применения классификации операций сектора государственного управления» (далее – приказ № 209н);</w:t>
      </w:r>
    </w:p>
    <w:p w:rsidR="00955420" w:rsidRPr="00955420" w:rsidRDefault="00955420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 xml:space="preserve">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</w:t>
      </w:r>
      <w:r w:rsidRPr="00955420">
        <w:rPr>
          <w:sz w:val="26"/>
          <w:szCs w:val="26"/>
        </w:rPr>
        <w:lastRenderedPageBreak/>
        <w:t>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 (далее – Приказ № 52н);</w:t>
      </w:r>
    </w:p>
    <w:p w:rsidR="00955420" w:rsidRPr="00955420" w:rsidRDefault="00955420" w:rsidP="0016077E">
      <w:pPr>
        <w:pStyle w:val="defaultStyle"/>
        <w:numPr>
          <w:ilvl w:val="0"/>
          <w:numId w:val="1"/>
        </w:numPr>
        <w:ind w:left="0" w:firstLine="0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 xml:space="preserve">федеральными стандартами бухгалтерского учета для организаций государственного сектора, утвержденными приказами Минфина от 31.12.2016 </w:t>
      </w:r>
      <w:hyperlink r:id="rId7" w:anchor="/document/99/420388973/" w:history="1">
        <w:r w:rsidRPr="00955420">
          <w:rPr>
            <w:sz w:val="26"/>
            <w:szCs w:val="26"/>
          </w:rPr>
          <w:t>№ 256н</w:t>
        </w:r>
      </w:hyperlink>
      <w:r w:rsidRPr="00955420">
        <w:rPr>
          <w:sz w:val="26"/>
          <w:szCs w:val="26"/>
        </w:rPr>
        <w:t xml:space="preserve">, </w:t>
      </w:r>
      <w:hyperlink r:id="rId8" w:anchor="/document/99/420389698/" w:history="1">
        <w:r w:rsidRPr="00955420">
          <w:rPr>
            <w:sz w:val="26"/>
            <w:szCs w:val="26"/>
          </w:rPr>
          <w:t>№ 257н</w:t>
        </w:r>
      </w:hyperlink>
      <w:r w:rsidRPr="00955420">
        <w:rPr>
          <w:sz w:val="26"/>
          <w:szCs w:val="26"/>
        </w:rPr>
        <w:t xml:space="preserve">, </w:t>
      </w:r>
      <w:hyperlink r:id="rId9" w:anchor="/document/99/420389699/" w:history="1">
        <w:r w:rsidRPr="00955420">
          <w:rPr>
            <w:sz w:val="26"/>
            <w:szCs w:val="26"/>
          </w:rPr>
          <w:t>№ 258н</w:t>
        </w:r>
      </w:hyperlink>
      <w:r w:rsidRPr="00955420">
        <w:rPr>
          <w:sz w:val="26"/>
          <w:szCs w:val="26"/>
        </w:rPr>
        <w:t xml:space="preserve">, </w:t>
      </w:r>
      <w:hyperlink r:id="rId10" w:anchor="/document/99/420388972/" w:history="1">
        <w:r w:rsidRPr="00955420">
          <w:rPr>
            <w:sz w:val="26"/>
            <w:szCs w:val="26"/>
          </w:rPr>
          <w:t>№ 259н</w:t>
        </w:r>
      </w:hyperlink>
      <w:r w:rsidRPr="00955420">
        <w:rPr>
          <w:sz w:val="26"/>
          <w:szCs w:val="26"/>
        </w:rPr>
        <w:t xml:space="preserve">, </w:t>
      </w:r>
      <w:hyperlink r:id="rId11" w:anchor="/document/99/420389697/" w:history="1">
        <w:r w:rsidRPr="00955420">
          <w:rPr>
            <w:sz w:val="26"/>
            <w:szCs w:val="26"/>
          </w:rPr>
          <w:t>№ 260н</w:t>
        </w:r>
      </w:hyperlink>
      <w:r w:rsidRPr="00955420">
        <w:rPr>
          <w:sz w:val="26"/>
          <w:szCs w:val="26"/>
        </w:rPr>
        <w:t xml:space="preserve"> (далее – соответст</w:t>
      </w:r>
      <w:r w:rsidR="0015160D">
        <w:rPr>
          <w:sz w:val="26"/>
          <w:szCs w:val="26"/>
        </w:rPr>
        <w:t>венно СГС «Концептуальные основы</w:t>
      </w:r>
      <w:r w:rsidRPr="00955420">
        <w:rPr>
          <w:sz w:val="26"/>
          <w:szCs w:val="26"/>
        </w:rPr>
        <w:t xml:space="preserve">», СГС «Основные средства», СГС «Аренда», СГС «Обесценение активов», СГС «Представление бухгалтерской (финансовой) отчетности»), от 30.12.2017 </w:t>
      </w:r>
      <w:hyperlink r:id="rId12" w:anchor="/document/99/542618106/" w:history="1">
        <w:r w:rsidRPr="00955420">
          <w:rPr>
            <w:sz w:val="26"/>
            <w:szCs w:val="26"/>
          </w:rPr>
          <w:t>№ 274н</w:t>
        </w:r>
      </w:hyperlink>
      <w:r w:rsidRPr="00955420">
        <w:rPr>
          <w:sz w:val="26"/>
          <w:szCs w:val="26"/>
        </w:rPr>
        <w:t xml:space="preserve">, </w:t>
      </w:r>
      <w:hyperlink r:id="rId13" w:anchor="/document/99/542618140/" w:history="1">
        <w:r w:rsidRPr="00955420">
          <w:rPr>
            <w:sz w:val="26"/>
            <w:szCs w:val="26"/>
          </w:rPr>
          <w:t>№ 275н</w:t>
        </w:r>
      </w:hyperlink>
      <w:r w:rsidRPr="00955420">
        <w:rPr>
          <w:sz w:val="26"/>
          <w:szCs w:val="26"/>
        </w:rPr>
        <w:t xml:space="preserve">, </w:t>
      </w:r>
      <w:hyperlink r:id="rId14" w:anchor="/document/99/542618111/" w:history="1">
        <w:r w:rsidRPr="00955420">
          <w:rPr>
            <w:sz w:val="26"/>
            <w:szCs w:val="26"/>
          </w:rPr>
          <w:t>№ 278н</w:t>
        </w:r>
      </w:hyperlink>
      <w:r w:rsidRPr="00955420">
        <w:rPr>
          <w:sz w:val="26"/>
          <w:szCs w:val="26"/>
        </w:rPr>
        <w:t xml:space="preserve">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</w:t>
      </w:r>
      <w:hyperlink r:id="rId15" w:anchor="/document/99/542619320/" w:history="1">
        <w:r w:rsidRPr="00955420">
          <w:rPr>
            <w:sz w:val="26"/>
            <w:szCs w:val="26"/>
          </w:rPr>
          <w:t>от 27.02.2018 № 32н</w:t>
        </w:r>
      </w:hyperlink>
      <w:r w:rsidRPr="00955420">
        <w:rPr>
          <w:sz w:val="26"/>
          <w:szCs w:val="26"/>
        </w:rPr>
        <w:t xml:space="preserve"> (далее – СГС «Доходы»), </w:t>
      </w:r>
      <w:hyperlink r:id="rId16" w:anchor="/document/99/542627356/" w:history="1">
        <w:r w:rsidRPr="00955420">
          <w:rPr>
            <w:sz w:val="26"/>
            <w:szCs w:val="26"/>
          </w:rPr>
          <w:t>от 30.05.2018 № 122н</w:t>
        </w:r>
      </w:hyperlink>
      <w:r w:rsidRPr="00955420">
        <w:rPr>
          <w:sz w:val="26"/>
          <w:szCs w:val="26"/>
        </w:rPr>
        <w:t xml:space="preserve"> (далее – СГС «Влияние изменений курсов иностранных валют»), от 28.02.2018 № 37н (далее – СГС «Бюджетная информация в бухгалтерской (финансовой) отчетности»), от 30.05.2018 № 124н (далее – СГС «Резервы. Раскрытие информации об условных обязательствах и условных активах»), от 29.06.2018 № 145н (далее – СГС «Долгосрочные договоры»), от 07.12.2018 № 256н (далее – СГС «Запасы»).</w:t>
      </w:r>
    </w:p>
    <w:p w:rsidR="00955420" w:rsidRDefault="00955420" w:rsidP="0016077E">
      <w:pPr>
        <w:pStyle w:val="defaultStyle"/>
        <w:numPr>
          <w:ilvl w:val="0"/>
          <w:numId w:val="2"/>
        </w:numPr>
        <w:ind w:left="0" w:firstLine="0"/>
        <w:contextualSpacing/>
        <w:rPr>
          <w:sz w:val="26"/>
          <w:szCs w:val="26"/>
        </w:rPr>
      </w:pPr>
      <w:r>
        <w:rPr>
          <w:sz w:val="26"/>
          <w:szCs w:val="26"/>
        </w:rPr>
        <w:t>приказом УГОЧС от 30 декабря 2019 г. № 325 «Об учетной политике».</w:t>
      </w:r>
    </w:p>
    <w:p w:rsidR="00955420" w:rsidRDefault="00955420" w:rsidP="0016077E">
      <w:pPr>
        <w:pStyle w:val="defaultStyle"/>
        <w:contextualSpacing/>
        <w:rPr>
          <w:sz w:val="26"/>
          <w:szCs w:val="26"/>
        </w:rPr>
      </w:pPr>
      <w:r w:rsidRPr="00955420">
        <w:rPr>
          <w:sz w:val="26"/>
          <w:szCs w:val="26"/>
        </w:rPr>
        <w:t>И иными нормативно-правовыми актами, регулирующими вопросы бухгалтерского учета.</w:t>
      </w:r>
    </w:p>
    <w:p w:rsidR="00955420" w:rsidRDefault="00955420" w:rsidP="0057185C">
      <w:pPr>
        <w:pStyle w:val="defaultStyle"/>
        <w:ind w:firstLine="360"/>
        <w:contextualSpacing/>
        <w:rPr>
          <w:sz w:val="26"/>
          <w:szCs w:val="26"/>
        </w:rPr>
      </w:pPr>
      <w:r>
        <w:rPr>
          <w:sz w:val="26"/>
          <w:szCs w:val="26"/>
        </w:rPr>
        <w:t>Бюджетный учет УГОЧС ведется с учетом следующих основных положений:</w:t>
      </w:r>
    </w:p>
    <w:p w:rsidR="00955420" w:rsidRPr="00955420" w:rsidRDefault="00955420" w:rsidP="00955420">
      <w:pPr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4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Ответственным за организацию бюджетного учета в учреждении и соблюдение законодательства при выполнении хозяйственных операций является начальник Управления (ч. 1 ст. 7 Закона № 402-ФЗ).</w:t>
      </w:r>
    </w:p>
    <w:p w:rsidR="00955420" w:rsidRPr="00955420" w:rsidRDefault="00955420" w:rsidP="00955420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4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Бюджетный учет ведется финансово-экономическим отделом, возглавляемым заведующим финансово-экономическим отделом - главным бухгалтером. Деятельность финансово-экономического отдела регламентируется Положением о финансово-экономическом отделе и должностными инструкциями работников отдела (ч. 3 ст. 7 Закона № 402-ФЗ).</w:t>
      </w:r>
    </w:p>
    <w:p w:rsidR="00955420" w:rsidRDefault="0015160D" w:rsidP="0015160D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 оформлении фактов хозяйственной жизни применяются унифицированные формы первичных учетных документов, в соответствии с приказом Минфина России № 52н.</w:t>
      </w:r>
    </w:p>
    <w:p w:rsidR="0015160D" w:rsidRDefault="0015160D" w:rsidP="0015160D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При оформлении фактов хозяйственной жизни, по которым не предусмотрены типовые формы первичных документов применяются формы, установленные локальными актами УГОЧС, содержащие обязательные реквизиты, указанные в Законе </w:t>
      </w:r>
      <w:r w:rsidRPr="00955420">
        <w:rPr>
          <w:sz w:val="26"/>
          <w:szCs w:val="26"/>
        </w:rPr>
        <w:t>№ 402-ФЗ</w:t>
      </w:r>
      <w:r>
        <w:rPr>
          <w:sz w:val="26"/>
          <w:szCs w:val="26"/>
        </w:rPr>
        <w:t>, СГС «Концептуальные основы».</w:t>
      </w:r>
    </w:p>
    <w:p w:rsidR="0015160D" w:rsidRDefault="0015160D" w:rsidP="0015160D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Рабочий план счетов разработан в соответствии с Инструкциями № 157н и 162н</w:t>
      </w:r>
      <w:r w:rsidR="00944C95">
        <w:rPr>
          <w:sz w:val="26"/>
          <w:szCs w:val="26"/>
        </w:rPr>
        <w:t>.</w:t>
      </w:r>
    </w:p>
    <w:p w:rsidR="00944C95" w:rsidRPr="00955420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Бюджетный учет ведется автоматизировано</w:t>
      </w:r>
      <w:r>
        <w:rPr>
          <w:sz w:val="26"/>
          <w:szCs w:val="26"/>
        </w:rPr>
        <w:t xml:space="preserve">. </w:t>
      </w:r>
      <w:r w:rsidRPr="00944C95">
        <w:rPr>
          <w:sz w:val="26"/>
          <w:szCs w:val="26"/>
        </w:rPr>
        <w:t>Обработка учетной информации ведется с применением программн</w:t>
      </w:r>
      <w:r>
        <w:rPr>
          <w:sz w:val="26"/>
          <w:szCs w:val="26"/>
        </w:rPr>
        <w:t>ых</w:t>
      </w:r>
      <w:r w:rsidRPr="00944C95">
        <w:rPr>
          <w:sz w:val="26"/>
          <w:szCs w:val="26"/>
        </w:rPr>
        <w:t xml:space="preserve"> продукт</w:t>
      </w:r>
      <w:r>
        <w:rPr>
          <w:sz w:val="26"/>
          <w:szCs w:val="26"/>
        </w:rPr>
        <w:t>ов</w:t>
      </w:r>
      <w:r w:rsidRPr="00944C95">
        <w:rPr>
          <w:sz w:val="26"/>
          <w:szCs w:val="26"/>
        </w:rPr>
        <w:t xml:space="preserve"> </w:t>
      </w:r>
      <w:r>
        <w:rPr>
          <w:sz w:val="26"/>
          <w:szCs w:val="26"/>
        </w:rPr>
        <w:t>автоматизации бухгалтерского учета</w:t>
      </w:r>
      <w:r w:rsidRPr="00944C95">
        <w:rPr>
          <w:sz w:val="26"/>
          <w:szCs w:val="26"/>
        </w:rPr>
        <w:t>. Базы данных хранятся на жестких дисках сервера Управления. Резервные (восстановительные) копии формируются с применением программы резервного копирования данных и хранятся на внешнем жестком диске отельного устройства в здании Управления. Ответственность за сохранность резервных копий несет заведующий финансово-экономическим отделом - главный бухгалтер</w:t>
      </w:r>
      <w:r>
        <w:rPr>
          <w:sz w:val="26"/>
          <w:szCs w:val="26"/>
        </w:rPr>
        <w:t>.</w:t>
      </w:r>
    </w:p>
    <w:p w:rsidR="00944C95" w:rsidRPr="00944C95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С использованием телекоммуникационных каналов связи и электронной подписи финансово-экономический отдел У</w:t>
      </w:r>
      <w:r>
        <w:rPr>
          <w:sz w:val="26"/>
          <w:szCs w:val="26"/>
        </w:rPr>
        <w:t>ГОЧС</w:t>
      </w:r>
      <w:r w:rsidRPr="00944C95">
        <w:rPr>
          <w:sz w:val="26"/>
          <w:szCs w:val="26"/>
        </w:rPr>
        <w:t xml:space="preserve"> осуществляет электронный документооборот по следующим направлениям: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система электронного документооборота с территориальным органом Казначейства России;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передача отчетности по страховым взносам и сведениям персонифицированного учета в отделение Пенсионного фонда России;</w:t>
      </w:r>
    </w:p>
    <w:p w:rsidR="00944C95" w:rsidRPr="00944C95" w:rsidRDefault="00944C95" w:rsidP="00944C95">
      <w:pPr>
        <w:pStyle w:val="defaultStyle"/>
        <w:numPr>
          <w:ilvl w:val="0"/>
          <w:numId w:val="6"/>
        </w:numPr>
        <w:contextualSpacing/>
        <w:rPr>
          <w:sz w:val="26"/>
          <w:szCs w:val="26"/>
        </w:rPr>
      </w:pPr>
      <w:r w:rsidRPr="00944C95">
        <w:rPr>
          <w:sz w:val="26"/>
          <w:szCs w:val="26"/>
        </w:rPr>
        <w:t>размещение информации о деятельности Управления на официальных сайтах: Официальный сайт для размещения информации о государственных (муниципальных) учреждениях, Государственная автоматизированная информационная система «Управление», Государственная информационная система государственных и муниципальных платежей, Официальный сайт Единой информационной системы в сфере закупок.</w:t>
      </w:r>
    </w:p>
    <w:p w:rsidR="00955420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 отсутствии типовых корреспонденций счетов бюджетного учета УГОЧС реализует право определять необходимую корреспонденцию счетов в части, не противоречащей нормативным правовым актам, регулирующим ведение бюджетного учета и составление бюджетной отчетности, с использованием отражения и раскрытия информации в соответствии с экономической сущностью фактов хозяйственной жизни, а не только их правовой формой.</w:t>
      </w:r>
    </w:p>
    <w:p w:rsidR="00944C95" w:rsidRDefault="00944C9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Инвентаризация активов и обязательств осуществляется в соответствии с ежегодными приказами начальника У</w:t>
      </w:r>
      <w:r w:rsidR="007A7B35">
        <w:rPr>
          <w:sz w:val="26"/>
          <w:szCs w:val="26"/>
        </w:rPr>
        <w:t>правления о проведении инвентаризации объектов бюджетного учета. При проведении инвентаризации перед составлением годовой отчетности признаются результаты инвентаризации, проведенной не ранее 1 сентября текущего года в связи со сменой материально ответственных лиц.</w:t>
      </w:r>
    </w:p>
    <w:p w:rsidR="007A7B35" w:rsidRDefault="007A7B35" w:rsidP="00944C9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В табеле учета использования рабочего времени регистрируются случаи отклонений от нормального использования рабочего времени, установленного правилами внутреннего трудового распорядка.</w:t>
      </w:r>
    </w:p>
    <w:p w:rsidR="00955420" w:rsidRDefault="007514F9" w:rsidP="007514F9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7514F9">
        <w:rPr>
          <w:sz w:val="26"/>
          <w:szCs w:val="26"/>
        </w:rPr>
        <w:t xml:space="preserve">Статус инвентарного объекта при признании и в процессе эксплуатации объекта (объектов) основных средств определяется комиссией по поступлению и выбытию активов, по инвентаризации имущества и обязательств УГОЧС с учетом положений </w:t>
      </w:r>
      <w:r w:rsidRPr="00955420">
        <w:rPr>
          <w:sz w:val="26"/>
          <w:szCs w:val="26"/>
        </w:rPr>
        <w:t>СГС «Основные средства»</w:t>
      </w:r>
      <w:r>
        <w:rPr>
          <w:sz w:val="26"/>
          <w:szCs w:val="26"/>
        </w:rPr>
        <w:t>.</w:t>
      </w:r>
    </w:p>
    <w:p w:rsidR="007514F9" w:rsidRPr="007514F9" w:rsidRDefault="007514F9" w:rsidP="007514F9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7514F9">
        <w:rPr>
          <w:sz w:val="26"/>
          <w:szCs w:val="26"/>
        </w:rPr>
        <w:t>Начисление амортизации основных средств производится линейным способом в соответствии со сроками полезного использования.</w:t>
      </w:r>
    </w:p>
    <w:p w:rsidR="007514F9" w:rsidRDefault="007514F9" w:rsidP="00714DD4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7514F9">
        <w:rPr>
          <w:sz w:val="26"/>
          <w:szCs w:val="26"/>
        </w:rPr>
        <w:t>УГОЧС осуществляет бюджетные полномочия администратора доходов бюджета. Порядок осуществления полномочий администратора доходов бюджета определяется в соответствии с законода</w:t>
      </w:r>
      <w:r>
        <w:rPr>
          <w:sz w:val="26"/>
          <w:szCs w:val="26"/>
        </w:rPr>
        <w:t>тельством Российской Федерации.</w:t>
      </w:r>
    </w:p>
    <w:p w:rsidR="007514F9" w:rsidRDefault="00F154F5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F154F5">
        <w:rPr>
          <w:sz w:val="26"/>
          <w:szCs w:val="26"/>
        </w:rPr>
        <w:t xml:space="preserve">Выдача под отчет денежных средств может производиться работникам на хозяйственные расходы, командировочные расходы и на оплату льготного проезда к месту проведения отпуска и обратно работника и неработающих членов его семьи. Выдача денежных средств на хозяйственные расходы производится из кассы, с применением корпоративной банковской карты или в порядке перечисления на зарплатную карту работника, на командировочные расходы и льготный проезд – наличными из кассы или в порядке перечисления </w:t>
      </w:r>
      <w:r w:rsidRPr="00F154F5">
        <w:rPr>
          <w:sz w:val="26"/>
          <w:szCs w:val="26"/>
        </w:rPr>
        <w:lastRenderedPageBreak/>
        <w:t>на зарплатную, а, при наличии заявления, на любую другую, принадлежащую работнику карту</w:t>
      </w:r>
      <w:r>
        <w:rPr>
          <w:sz w:val="26"/>
          <w:szCs w:val="26"/>
        </w:rPr>
        <w:t>.</w:t>
      </w:r>
    </w:p>
    <w:p w:rsidR="00D2611B" w:rsidRPr="00D2611B" w:rsidRDefault="00D2611B" w:rsidP="00D2611B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 w:rsidRPr="00D2611B">
        <w:rPr>
          <w:sz w:val="26"/>
          <w:szCs w:val="26"/>
        </w:rPr>
        <w:t>При поступлении документов на иностранном языке построчный перевод таких документов на русский язык осуществляется сотрудником учреждения, который владеет иностранным языком. В случае возможности перевода документа переводы составляются на отдельном документе, заверяются подписью сотрудника, составившего перевод, и прикладываются к первичным документам. В случае невозможности перевода документа привлекается профессиональный переводчик. Перевод денежных (финансовых) документов заверяется нотариусом.</w:t>
      </w:r>
    </w:p>
    <w:p w:rsidR="00F154F5" w:rsidRDefault="00D2611B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События после отчетной даты отражаются в бюджетном учете и раскрываются в бюджетной отчетности в соответствии с положениями СГС </w:t>
      </w:r>
      <w:r w:rsidRPr="00955420">
        <w:rPr>
          <w:sz w:val="26"/>
          <w:szCs w:val="26"/>
        </w:rPr>
        <w:t>«События после отчетной даты»</w:t>
      </w:r>
      <w:r>
        <w:rPr>
          <w:sz w:val="26"/>
          <w:szCs w:val="26"/>
        </w:rPr>
        <w:t>. Событие после отчетной даты признается существенным, в случае, когда информация</w:t>
      </w:r>
      <w:r w:rsidR="0057185C" w:rsidRPr="0057185C">
        <w:rPr>
          <w:sz w:val="26"/>
          <w:szCs w:val="26"/>
        </w:rPr>
        <w:t xml:space="preserve"> </w:t>
      </w:r>
      <w:r w:rsidR="0057185C">
        <w:rPr>
          <w:sz w:val="26"/>
          <w:szCs w:val="26"/>
        </w:rPr>
        <w:t>о нем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раскрываемая в бюджетной отчетности является существенной информацией.</w:t>
      </w:r>
    </w:p>
    <w:p w:rsidR="00D2611B" w:rsidRDefault="00D2611B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Резерв предстоящих расходов формируется в сумме отложенных обязательств на оплату отпусков за фактически отработанное время в части выплат работникам и в части страховых взносов.</w:t>
      </w:r>
    </w:p>
    <w:p w:rsidR="00D2611B" w:rsidRDefault="00D2611B" w:rsidP="00F154F5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УГОЧС формирует и представляет месячную, квартальную и годовую отчетность об исполнении районного бюджета главного администратора средств районного бюджета в порядке и сроки, установленные законодательством Российской Федерации.</w:t>
      </w:r>
    </w:p>
    <w:p w:rsidR="005A4F6A" w:rsidRPr="005A4F6A" w:rsidRDefault="005A4F6A" w:rsidP="005A4F6A">
      <w:pPr>
        <w:pStyle w:val="defaultStyle"/>
        <w:numPr>
          <w:ilvl w:val="0"/>
          <w:numId w:val="3"/>
        </w:numPr>
        <w:contextualSpacing/>
        <w:rPr>
          <w:sz w:val="26"/>
          <w:szCs w:val="26"/>
        </w:rPr>
      </w:pPr>
      <w:r>
        <w:rPr>
          <w:sz w:val="26"/>
          <w:szCs w:val="26"/>
        </w:rPr>
        <w:t>Основные положения учетной политики УГОЧС применяются одновременно с иными документами учетной политики, оформленными приказами начальника Управления, а также положениями законодательства Российской Федерации о бухгалтерском учете.</w:t>
      </w:r>
      <w:bookmarkStart w:id="0" w:name="_GoBack"/>
      <w:bookmarkEnd w:id="0"/>
    </w:p>
    <w:sectPr w:rsidR="005A4F6A" w:rsidRPr="005A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20E"/>
    <w:multiLevelType w:val="hybridMultilevel"/>
    <w:tmpl w:val="00B8CBDA"/>
    <w:lvl w:ilvl="0" w:tplc="28CC5E8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4C5AB09C">
      <w:start w:val="1"/>
      <w:numFmt w:val="bullet"/>
      <w:suff w:val="spac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D86678D2">
      <w:start w:val="1"/>
      <w:numFmt w:val="bullet"/>
      <w:suff w:val="space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92DEB86E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 w:tplc="0B1A5DC0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F1D61ED0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6" w:tplc="548A9FDC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7" w:tplc="37B208D6">
      <w:start w:val="1"/>
      <w:numFmt w:val="bullet"/>
      <w:suff w:val="space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32F07E1C">
      <w:start w:val="1"/>
      <w:numFmt w:val="bullet"/>
      <w:suff w:val="space"/>
      <w:lvlText w:val="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323E16"/>
    <w:multiLevelType w:val="hybridMultilevel"/>
    <w:tmpl w:val="673265AA"/>
    <w:lvl w:ilvl="0" w:tplc="D444D134">
      <w:start w:val="1"/>
      <w:numFmt w:val="decimal"/>
      <w:suff w:val="space"/>
      <w:lvlText w:val="%1."/>
      <w:lvlJc w:val="left"/>
      <w:pPr>
        <w:ind w:left="360" w:hanging="360"/>
      </w:pPr>
    </w:lvl>
    <w:lvl w:ilvl="1" w:tplc="5DE244C8">
      <w:numFmt w:val="none"/>
      <w:lvlText w:val=""/>
      <w:lvlJc w:val="left"/>
      <w:pPr>
        <w:tabs>
          <w:tab w:val="num" w:pos="360"/>
        </w:tabs>
      </w:pPr>
    </w:lvl>
    <w:lvl w:ilvl="2" w:tplc="0F164168">
      <w:numFmt w:val="none"/>
      <w:lvlText w:val=""/>
      <w:lvlJc w:val="left"/>
      <w:pPr>
        <w:tabs>
          <w:tab w:val="num" w:pos="360"/>
        </w:tabs>
      </w:pPr>
    </w:lvl>
    <w:lvl w:ilvl="3" w:tplc="83A25638">
      <w:numFmt w:val="none"/>
      <w:lvlText w:val=""/>
      <w:lvlJc w:val="left"/>
      <w:pPr>
        <w:tabs>
          <w:tab w:val="num" w:pos="360"/>
        </w:tabs>
      </w:pPr>
    </w:lvl>
    <w:lvl w:ilvl="4" w:tplc="16E81A2C">
      <w:numFmt w:val="none"/>
      <w:lvlText w:val=""/>
      <w:lvlJc w:val="left"/>
      <w:pPr>
        <w:tabs>
          <w:tab w:val="num" w:pos="360"/>
        </w:tabs>
      </w:pPr>
    </w:lvl>
    <w:lvl w:ilvl="5" w:tplc="7B2A8EA4">
      <w:numFmt w:val="none"/>
      <w:lvlText w:val=""/>
      <w:lvlJc w:val="left"/>
      <w:pPr>
        <w:tabs>
          <w:tab w:val="num" w:pos="360"/>
        </w:tabs>
      </w:pPr>
    </w:lvl>
    <w:lvl w:ilvl="6" w:tplc="D3EC9F70">
      <w:numFmt w:val="none"/>
      <w:lvlText w:val=""/>
      <w:lvlJc w:val="left"/>
      <w:pPr>
        <w:tabs>
          <w:tab w:val="num" w:pos="360"/>
        </w:tabs>
      </w:pPr>
    </w:lvl>
    <w:lvl w:ilvl="7" w:tplc="0FB03696">
      <w:numFmt w:val="none"/>
      <w:lvlText w:val=""/>
      <w:lvlJc w:val="left"/>
      <w:pPr>
        <w:tabs>
          <w:tab w:val="num" w:pos="360"/>
        </w:tabs>
      </w:pPr>
    </w:lvl>
    <w:lvl w:ilvl="8" w:tplc="A9CC842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EBD70E6"/>
    <w:multiLevelType w:val="hybridMultilevel"/>
    <w:tmpl w:val="39887B1E"/>
    <w:lvl w:ilvl="0" w:tplc="9EA470D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2C45CD"/>
    <w:multiLevelType w:val="hybridMultilevel"/>
    <w:tmpl w:val="F7C0297C"/>
    <w:lvl w:ilvl="0" w:tplc="D444D134">
      <w:start w:val="1"/>
      <w:numFmt w:val="decimal"/>
      <w:suff w:val="space"/>
      <w:lvlText w:val="%1."/>
      <w:lvlJc w:val="left"/>
      <w:pPr>
        <w:ind w:left="360" w:hanging="360"/>
      </w:pPr>
    </w:lvl>
    <w:lvl w:ilvl="1" w:tplc="0419000D">
      <w:start w:val="1"/>
      <w:numFmt w:val="bullet"/>
      <w:lvlText w:val="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0F164168">
      <w:numFmt w:val="none"/>
      <w:lvlText w:val=""/>
      <w:lvlJc w:val="left"/>
      <w:pPr>
        <w:tabs>
          <w:tab w:val="num" w:pos="360"/>
        </w:tabs>
      </w:pPr>
    </w:lvl>
    <w:lvl w:ilvl="3" w:tplc="83A25638">
      <w:numFmt w:val="none"/>
      <w:lvlText w:val=""/>
      <w:lvlJc w:val="left"/>
      <w:pPr>
        <w:tabs>
          <w:tab w:val="num" w:pos="360"/>
        </w:tabs>
      </w:pPr>
    </w:lvl>
    <w:lvl w:ilvl="4" w:tplc="16E81A2C">
      <w:numFmt w:val="none"/>
      <w:lvlText w:val=""/>
      <w:lvlJc w:val="left"/>
      <w:pPr>
        <w:tabs>
          <w:tab w:val="num" w:pos="360"/>
        </w:tabs>
      </w:pPr>
    </w:lvl>
    <w:lvl w:ilvl="5" w:tplc="7B2A8EA4">
      <w:numFmt w:val="none"/>
      <w:lvlText w:val=""/>
      <w:lvlJc w:val="left"/>
      <w:pPr>
        <w:tabs>
          <w:tab w:val="num" w:pos="360"/>
        </w:tabs>
      </w:pPr>
    </w:lvl>
    <w:lvl w:ilvl="6" w:tplc="D3EC9F70">
      <w:numFmt w:val="none"/>
      <w:lvlText w:val=""/>
      <w:lvlJc w:val="left"/>
      <w:pPr>
        <w:tabs>
          <w:tab w:val="num" w:pos="360"/>
        </w:tabs>
      </w:pPr>
    </w:lvl>
    <w:lvl w:ilvl="7" w:tplc="0FB03696">
      <w:numFmt w:val="none"/>
      <w:lvlText w:val=""/>
      <w:lvlJc w:val="left"/>
      <w:pPr>
        <w:tabs>
          <w:tab w:val="num" w:pos="360"/>
        </w:tabs>
      </w:pPr>
    </w:lvl>
    <w:lvl w:ilvl="8" w:tplc="A9CC84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8926877"/>
    <w:multiLevelType w:val="hybridMultilevel"/>
    <w:tmpl w:val="E3908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04"/>
    <w:rsid w:val="001063F5"/>
    <w:rsid w:val="0015160D"/>
    <w:rsid w:val="0016077E"/>
    <w:rsid w:val="0057185C"/>
    <w:rsid w:val="005A4F6A"/>
    <w:rsid w:val="007514F9"/>
    <w:rsid w:val="007A7B35"/>
    <w:rsid w:val="00944C95"/>
    <w:rsid w:val="00955420"/>
    <w:rsid w:val="009B0A9D"/>
    <w:rsid w:val="00B05C66"/>
    <w:rsid w:val="00B20304"/>
    <w:rsid w:val="00D2611B"/>
    <w:rsid w:val="00F154F5"/>
    <w:rsid w:val="00FD30E6"/>
    <w:rsid w:val="00FF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F368"/>
  <w15:chartTrackingRefBased/>
  <w15:docId w15:val="{F268F46B-D33E-4E43-9289-419EC234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Style"/>
    <w:link w:val="defaultStyleCar"/>
    <w:uiPriority w:val="99"/>
    <w:unhideWhenUsed/>
    <w:rsid w:val="00B05C66"/>
    <w:pPr>
      <w:spacing w:after="200" w:line="360" w:lineRule="auto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defaultStyleCar">
    <w:name w:val="defaultStyleCar"/>
    <w:link w:val="defaultStyle"/>
    <w:uiPriority w:val="99"/>
    <w:unhideWhenUsed/>
    <w:rsid w:val="00B05C6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Heading1KD">
    <w:name w:val="Heading1KD"/>
    <w:link w:val="Heading1KDCar"/>
    <w:uiPriority w:val="99"/>
    <w:unhideWhenUsed/>
    <w:rsid w:val="00B05C66"/>
    <w:pPr>
      <w:spacing w:after="200" w:line="360" w:lineRule="auto"/>
      <w:jc w:val="center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unhideWhenUsed/>
    <w:rsid w:val="00B05C66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944C95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  <w:style w:type="character" w:customStyle="1" w:styleId="Heading1CarPHPDOCX">
    <w:name w:val="Heading 1 Car PHPDOCX"/>
    <w:link w:val="Heading1PHPDOCX"/>
    <w:uiPriority w:val="9"/>
    <w:rsid w:val="00944C95"/>
    <w:rPr>
      <w:rFonts w:ascii="Times New Roman" w:eastAsia="Times New Roman" w:hAnsi="Times New Roman" w:cs="Times New Roman"/>
      <w:b/>
      <w:bCs/>
      <w:color w:val="365F91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finansy.ru/" TargetMode="External"/><Relationship Id="rId13" Type="http://schemas.openxmlformats.org/officeDocument/2006/relationships/hyperlink" Target="https://www.gosfinans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12" Type="http://schemas.openxmlformats.org/officeDocument/2006/relationships/hyperlink" Target="https://www.gosfinansy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sfinans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sfinansy.ru/" TargetMode="External"/><Relationship Id="rId11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15" Type="http://schemas.openxmlformats.org/officeDocument/2006/relationships/hyperlink" Target="https://www.gosfinansy.ru/" TargetMode="External"/><Relationship Id="rId10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gosfinans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Виктория</dc:creator>
  <cp:keywords/>
  <dc:description/>
  <cp:lastModifiedBy>Иванова Виктория</cp:lastModifiedBy>
  <cp:revision>9</cp:revision>
  <dcterms:created xsi:type="dcterms:W3CDTF">2020-12-17T08:41:00Z</dcterms:created>
  <dcterms:modified xsi:type="dcterms:W3CDTF">2020-12-23T08:47:00Z</dcterms:modified>
</cp:coreProperties>
</file>