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B1" w:rsidRDefault="00FC1AB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1AB1" w:rsidRDefault="00FC1A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C1A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1AB1" w:rsidRDefault="00FC1AB1">
            <w:pPr>
              <w:pStyle w:val="ConsPlusNormal"/>
            </w:pPr>
            <w:r>
              <w:t>24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1AB1" w:rsidRDefault="00FC1AB1">
            <w:pPr>
              <w:pStyle w:val="ConsPlusNormal"/>
              <w:jc w:val="right"/>
            </w:pPr>
            <w:r>
              <w:t>N 10-4677</w:t>
            </w:r>
          </w:p>
        </w:tc>
      </w:tr>
    </w:tbl>
    <w:p w:rsidR="00FC1AB1" w:rsidRDefault="00FC1A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Title"/>
        <w:jc w:val="center"/>
      </w:pPr>
      <w:r>
        <w:t>ЗАКОНОДАТЕЛЬНОЕ СОБРАНИЕ КРАСНОЯРСКОГО КРАЯ</w:t>
      </w:r>
    </w:p>
    <w:p w:rsidR="00FC1AB1" w:rsidRDefault="00FC1AB1">
      <w:pPr>
        <w:pStyle w:val="ConsPlusTitle"/>
        <w:jc w:val="center"/>
      </w:pPr>
    </w:p>
    <w:p w:rsidR="00FC1AB1" w:rsidRDefault="00FC1AB1">
      <w:pPr>
        <w:pStyle w:val="ConsPlusTitle"/>
        <w:jc w:val="center"/>
      </w:pPr>
      <w:r>
        <w:t>ЗАКОН</w:t>
      </w:r>
    </w:p>
    <w:p w:rsidR="00FC1AB1" w:rsidRDefault="00FC1AB1">
      <w:pPr>
        <w:pStyle w:val="ConsPlusTitle"/>
        <w:jc w:val="center"/>
      </w:pPr>
    </w:p>
    <w:p w:rsidR="00FC1AB1" w:rsidRDefault="00FC1AB1">
      <w:pPr>
        <w:pStyle w:val="ConsPlusTitle"/>
        <w:jc w:val="center"/>
      </w:pPr>
      <w:r>
        <w:t>КРАСНОЯРСКОГО КРАЯ</w:t>
      </w:r>
    </w:p>
    <w:p w:rsidR="00FC1AB1" w:rsidRDefault="00FC1AB1">
      <w:pPr>
        <w:pStyle w:val="ConsPlusTitle"/>
        <w:jc w:val="center"/>
      </w:pPr>
    </w:p>
    <w:p w:rsidR="00FC1AB1" w:rsidRDefault="00FC1AB1">
      <w:pPr>
        <w:pStyle w:val="ConsPlusTitle"/>
        <w:jc w:val="center"/>
      </w:pPr>
      <w:r>
        <w:t>О ГОСУДАРСТВЕННОЙ ПОДДЕРЖКЕ СБЫТА ПРОДОВОЛЬСТВЕННОЙ</w:t>
      </w:r>
    </w:p>
    <w:p w:rsidR="00FC1AB1" w:rsidRDefault="00FC1AB1">
      <w:pPr>
        <w:pStyle w:val="ConsPlusTitle"/>
        <w:jc w:val="center"/>
      </w:pPr>
      <w:r>
        <w:t>ПРОДУКЦИИ В КРАСНОЯРСКОМ КРАЕ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со </w:t>
      </w:r>
      <w:hyperlink r:id="rId6" w:history="1">
        <w:r>
          <w:rPr>
            <w:color w:val="0000FF"/>
          </w:rPr>
          <w:t>Стратегией</w:t>
        </w:r>
      </w:hyperlink>
      <w:r>
        <w:t xml:space="preserve"> повышения качества пищевой продукции в Российской Федерации до 2030 года определяет правовые основы государственной поддержки сбыта продовольственной продукции, произведенной на территории Красноярского края, в целях стимулирования роста спроса и предложения на более качественную продовольственную продукцию и обеспечения соблюдения прав потребителей на приобретение качественной продовольственной продукции местного производства.</w:t>
      </w:r>
      <w:proofErr w:type="gramEnd"/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Title"/>
        <w:ind w:firstLine="540"/>
        <w:jc w:val="both"/>
        <w:outlineLvl w:val="0"/>
      </w:pPr>
      <w:bookmarkStart w:id="0" w:name="P15"/>
      <w:bookmarkEnd w:id="0"/>
      <w:r>
        <w:t>Статья 1. Понятия, используемые в настоящем Законе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продовольственная продукция - сельскохозяйственная, лесная продукция и пищевые продукты, произведенные в Красноярском крае;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пищевые продукты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безалкогольные напитки;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сельскохозяйственная продукция - продукция, содержащаяся в перечне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утвержденном Правительством Российской Федерации;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лесная продукция - </w:t>
      </w:r>
      <w:proofErr w:type="spellStart"/>
      <w:r>
        <w:t>недревесные</w:t>
      </w:r>
      <w:proofErr w:type="spellEnd"/>
      <w:r>
        <w:t xml:space="preserve"> и пищевые лесные ресурсы, лекарственные растения, собранные в местах их естественного произрастания;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сбыт продовольственной продукции - деятельность, направленная на доведение продовольственной продукции до потребителя;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услуги по продвижению пищевых продуктов - услуги по исследованию, мониторингу и прогнозированию продовольственного рынка края, мониторингу эффективности продвижения пищевых продуктов, прошедших добровольную </w:t>
      </w:r>
      <w:r>
        <w:lastRenderedPageBreak/>
        <w:t>сертификацию, по разработке, созданию, размещению и демонстрации информационно-просветительских и рекламных материалов о пищевых продуктах, прошедших добровольную сертификацию, и (или) их производителях. Услуги по продвижению пищевых продуктов включают в себя перечень мероприятий по продвижению пищевых продуктов, в отношении которых осуществляется государственная поддержка, утверждаемый органом исполнительной власти края в сфере агропромышленного комплекса;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программа продвижения пищевых продуктов (далее - программа) - документ, содержащий:</w:t>
      </w:r>
    </w:p>
    <w:p w:rsidR="00FC1AB1" w:rsidRDefault="00FC1AB1">
      <w:pPr>
        <w:pStyle w:val="ConsPlusNormal"/>
        <w:spacing w:before="240"/>
        <w:ind w:firstLine="540"/>
        <w:jc w:val="both"/>
      </w:pPr>
      <w:proofErr w:type="gramStart"/>
      <w:r>
        <w:t>наименование мероприятий по продвижению пищевых продуктов, прошедших добровольную сертификацию и включенных в перечень пищевых продуктов, утверждаемый органом исполнительной власти края в сфере агропромышленного комплекса, и сроки реализации мероприятий;</w:t>
      </w:r>
      <w:proofErr w:type="gramEnd"/>
    </w:p>
    <w:p w:rsidR="00FC1AB1" w:rsidRDefault="00FC1AB1">
      <w:pPr>
        <w:pStyle w:val="ConsPlusNormal"/>
        <w:spacing w:before="240"/>
        <w:ind w:firstLine="540"/>
        <w:jc w:val="both"/>
      </w:pPr>
      <w:r>
        <w:t>ожидаемые объемы реализации пищевых продуктов, прошедших добровольную сертификацию;</w:t>
      </w:r>
    </w:p>
    <w:p w:rsidR="00FC1AB1" w:rsidRDefault="00FC1AB1">
      <w:pPr>
        <w:pStyle w:val="ConsPlusNormal"/>
        <w:spacing w:before="240"/>
        <w:ind w:firstLine="540"/>
        <w:jc w:val="both"/>
      </w:pPr>
      <w:proofErr w:type="gramStart"/>
      <w:r>
        <w:t>заготовительный пункт - модульный объект и (или) здание, строение, сооружение и (или) комплекс зданий, строений, сооружений, включая технологическое оборудование, предназначенные для приемки, хранения, переработки, упаковки и реализации сельскохозяйственной, лесной продукции;</w:t>
      </w:r>
      <w:proofErr w:type="gramEnd"/>
    </w:p>
    <w:p w:rsidR="00FC1AB1" w:rsidRDefault="00FC1AB1">
      <w:pPr>
        <w:pStyle w:val="ConsPlusNormal"/>
        <w:spacing w:before="240"/>
        <w:ind w:firstLine="540"/>
        <w:jc w:val="both"/>
      </w:pPr>
      <w:r>
        <w:t>модульный объект - быстровозводимое здание и (или) здания, собранные из отдельных модулей (</w:t>
      </w:r>
      <w:proofErr w:type="gramStart"/>
      <w:r>
        <w:t>блок-контейнеров</w:t>
      </w:r>
      <w:proofErr w:type="gramEnd"/>
      <w:r>
        <w:t>) с готовой внутренней и внешней отделкой, имеющие условия для производственной и административной деятельности.</w:t>
      </w:r>
    </w:p>
    <w:p w:rsidR="00FC1AB1" w:rsidRDefault="00FC1AB1">
      <w:pPr>
        <w:pStyle w:val="ConsPlusNormal"/>
        <w:spacing w:before="240"/>
        <w:ind w:firstLine="540"/>
        <w:jc w:val="both"/>
      </w:pPr>
      <w:proofErr w:type="gramStart"/>
      <w:r>
        <w:t xml:space="preserve">Иные понятия, используемые в настоящем Законе, применяются в значениях, определенных Федеральными законами от 27 декабря 2002 года </w:t>
      </w:r>
      <w:hyperlink r:id="rId7" w:history="1">
        <w:r>
          <w:rPr>
            <w:color w:val="0000FF"/>
          </w:rPr>
          <w:t>N 184-ФЗ</w:t>
        </w:r>
      </w:hyperlink>
      <w:r>
        <w:t xml:space="preserve"> "О техническом регулировании", от 28 декабря 2009 года </w:t>
      </w:r>
      <w:hyperlink r:id="rId8" w:history="1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 и от 2 января 2000 года </w:t>
      </w:r>
      <w:hyperlink r:id="rId9" w:history="1">
        <w:r>
          <w:rPr>
            <w:color w:val="0000FF"/>
          </w:rPr>
          <w:t>N 29-ФЗ</w:t>
        </w:r>
      </w:hyperlink>
      <w:r>
        <w:t xml:space="preserve"> "О качестве и безопасности пищевых продуктов".</w:t>
      </w:r>
      <w:proofErr w:type="gramEnd"/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Title"/>
        <w:ind w:firstLine="540"/>
        <w:jc w:val="both"/>
        <w:outlineLvl w:val="0"/>
      </w:pPr>
      <w:bookmarkStart w:id="1" w:name="P31"/>
      <w:bookmarkEnd w:id="1"/>
      <w:r>
        <w:t>Статья 2. Категории получателей государственной поддержки сбыта продовольственной продукции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r>
        <w:t>Получателями государственной поддержки сбыта продовольственной продукции являются: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а) юридические лица и индивидуальные предприниматели, основными </w:t>
      </w:r>
      <w:proofErr w:type="gramStart"/>
      <w:r>
        <w:t>видами</w:t>
      </w:r>
      <w:proofErr w:type="gramEnd"/>
      <w:r>
        <w:t xml:space="preserve"> деятельности которых является производство и (или) реализация продовольственной продукции, осуществляющие указанную деятельность на территории края и (или) зарегистрированные на территории края (далее - сельскохозяйственные организации);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б) некоммерческие организации, объединяющие двадцать и более сельскохозяйственных организаций, не менее </w:t>
      </w:r>
      <w:proofErr w:type="gramStart"/>
      <w:r>
        <w:t>половины</w:t>
      </w:r>
      <w:proofErr w:type="gramEnd"/>
      <w:r>
        <w:t xml:space="preserve"> которых относится к субъектам малого и среднего предпринимательства, и организации розничной торговли (далее - некоммерческие организации);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в) сельскохозяйственные потребительские кооперативы, осуществляющие свою деятельность и (или) зарегистрированные на территории края и образованные двумя и более сельскохозяйственными потребительскими кооперативами, созданными в </w:t>
      </w:r>
      <w:r>
        <w:lastRenderedPageBreak/>
        <w:t xml:space="preserve">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8 декабря 1995 года N 193-ФЗ "О сельскохозяйственной кооперации" (далее - кооперативы).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Title"/>
        <w:ind w:firstLine="540"/>
        <w:jc w:val="both"/>
        <w:outlineLvl w:val="0"/>
      </w:pPr>
      <w:r>
        <w:t>Статья 3. Основные положения предоставления государственной поддержки сбыта продовольственной продукции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r>
        <w:t>1. Средства государственной поддержки сбыта продовольственной продукции предоставляются в форме субсидий без проведения отбора на основании соглашения о предоставлении субсидии, заключаемого между органом исполнительной власти края в сфере агропромышленного комплекса и получателем субсидии.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2. Получатели субсидий на первое число месяца, предшествующего месяцу, в котором планируется заключение соглашения о предоставлении субсидии, должны соответствовать следующим требованиям: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б) у получателей субсидий должна отсутствовать просроченная задолженность по возврату в краевой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краевым бюджетом;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в) получатели субсидий - юридические лица не должны находиться в процессе реорганизации, ликвидации,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C1AB1" w:rsidRDefault="00FC1AB1">
      <w:pPr>
        <w:pStyle w:val="ConsPlusNormal"/>
        <w:spacing w:before="240"/>
        <w:ind w:firstLine="540"/>
        <w:jc w:val="both"/>
      </w:pPr>
      <w:proofErr w:type="gramStart"/>
      <w: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</w:t>
      </w:r>
      <w:proofErr w:type="gramEnd"/>
      <w:r>
        <w:t xml:space="preserve"> зоны) в отношении таких юридических лиц, в совокупности превышает 50 процентов;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д) получатели субсидий не должны получать средства из краевого бюджета на основании иных нормативных правовых актов или муниципальных правовых актов на цели, указанные в настоящем Законе.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3. Основаниями для отказа в предоставлении субсидий являются: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а) несоответствие сельскохозяйственной организации, некоммерческой организации, кооператива требованиям, установленным </w:t>
      </w:r>
      <w:hyperlink w:anchor="P31" w:history="1">
        <w:r>
          <w:rPr>
            <w:color w:val="0000FF"/>
          </w:rPr>
          <w:t>статьей 2</w:t>
        </w:r>
      </w:hyperlink>
      <w:r>
        <w:t xml:space="preserve"> настоящего Закона;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б) несоответствие представленных получателем субсидии документов для получения субсидии требованиям, установленным порядком предоставления субсидии, предусмотренным </w:t>
      </w:r>
      <w:hyperlink w:anchor="P53" w:history="1">
        <w:r>
          <w:rPr>
            <w:color w:val="0000FF"/>
          </w:rPr>
          <w:t>пунктом 5</w:t>
        </w:r>
      </w:hyperlink>
      <w:r>
        <w:t xml:space="preserve"> настоящей статьи, или их непредставление (представление не в полном объеме);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в) установление факта представления документов, содержащих недостоверные </w:t>
      </w:r>
      <w:r>
        <w:lastRenderedPageBreak/>
        <w:t>сведения;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г) несоблюдение получателем субсидии условий предоставления государственной поддержки, предусмотренных настоящим Законом.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4. Получатели субсидий представляют в орган исполнительной власти края в сфере агропромышленного комплекса отчетность в сроки, по формам и в порядке, которые установлены соглашениями о предоставлении субсидий.</w:t>
      </w:r>
    </w:p>
    <w:p w:rsidR="00FC1AB1" w:rsidRDefault="00FC1AB1">
      <w:pPr>
        <w:pStyle w:val="ConsPlusNormal"/>
        <w:spacing w:before="240"/>
        <w:ind w:firstLine="540"/>
        <w:jc w:val="both"/>
      </w:pPr>
      <w:bookmarkStart w:id="2" w:name="P53"/>
      <w:bookmarkEnd w:id="2"/>
      <w:r>
        <w:t>5. Порядки предоставления субсидий, предусмотренных настоящим Законом, в том числе перечень, формы и сроки представления документов, необходимых для их получения, порядки возврата субсидий в случае нарушения условий, установленных при их предоставлении, утверждаются Правительством края.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6. Соблюдение условий, целей и порядка предоставления субсидий подлежит обязательной проверке органом исполнительной власти края в сфере агропромышленного комплекса и органами государственного финансового контроля.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Title"/>
        <w:ind w:firstLine="540"/>
        <w:jc w:val="both"/>
        <w:outlineLvl w:val="0"/>
      </w:pPr>
      <w:r>
        <w:t>Статья 4. Финансовое обеспечение настоящего Закона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r>
        <w:t>1. Финансовое обеспечение государственной поддержки, установленной настоящим Законом, является расходным обязательством Красноярского края и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2. Объемы бюджетных ассигнований для финансирования мероприятий государственной поддержки, установленной настоящим Законом, утверждаются законом края о краевом бюджете.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3. Ставки субсидирования в отношении субсидий, предусмотренных настоящим Законом, утверждаются Правительством края. В случаях, предусмотренных настоящим Законом, субсидии предоставляются по дифференцированным ставкам.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Title"/>
        <w:ind w:firstLine="540"/>
        <w:jc w:val="both"/>
        <w:outlineLvl w:val="0"/>
      </w:pPr>
      <w:r>
        <w:t>Статья 5. Возмещение (финансовое обеспечение) части затрат на строительство заготовительных пунктов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r>
        <w:t>1. Средства на возмещение (финансовое обеспечение) части затрат на строительство заготовительных пунктов (далее - объект), включая затраты на приобретение технологического оборудования для переработки сельскохозяйственной, лесной продукции (далее - технологическое оборудование), предоставляются кооперативам в форме субсидий.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2. Субсидированию подлежат затраты на строительство объекта, включая затраты на приобретение входящего в его состав технологического оборудования, в соответствии со сводным и (или) объектным сметным расчетом стоимости строительства.</w:t>
      </w:r>
    </w:p>
    <w:p w:rsidR="00FC1AB1" w:rsidRDefault="00FC1AB1">
      <w:pPr>
        <w:pStyle w:val="ConsPlusNormal"/>
        <w:spacing w:before="240"/>
        <w:ind w:firstLine="540"/>
        <w:jc w:val="both"/>
      </w:pPr>
      <w:bookmarkStart w:id="3" w:name="P66"/>
      <w:bookmarkEnd w:id="3"/>
      <w:r>
        <w:t xml:space="preserve">3. </w:t>
      </w:r>
      <w:proofErr w:type="gramStart"/>
      <w:r>
        <w:t>Размер субсидии на возмещение (финансовое обеспечение) части затрат (с учетом налога на добавленную стоимость - для получателей субсидий, не являющихся налогоплательщиками налога на добавленную стоимость, и без учета налога на добавленную стоимость - для получателей субсидий, являющихся налогоплательщиками налога на добавленную стоимость), связанных со строительством одного объекта, определяется исходя из стоимости объекта, включая стоимость входящего в его состав технологического оборудования, и ставки</w:t>
      </w:r>
      <w:proofErr w:type="gramEnd"/>
      <w:r>
        <w:t xml:space="preserve"> субсидирования в процентах от стоимости объекта и не должен превышать 30000,0 тыс. рублей на один объект.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lastRenderedPageBreak/>
        <w:t xml:space="preserve">Разрешение на строительство объекта должно быть выдано не ранее 1 января 2019 года, а срок проведения работ по строительству объекта не может превышать трех лет </w:t>
      </w:r>
      <w:proofErr w:type="gramStart"/>
      <w:r>
        <w:t>с даты выдачи</w:t>
      </w:r>
      <w:proofErr w:type="gramEnd"/>
      <w:r>
        <w:t xml:space="preserve"> разрешения на строительство.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Сумма субсидии определяется в соответствии со сводным и (или) объектным сметным расчетом стоимости строительства.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4. Предоставление субсидий осуществляется в виде авансовых перечислений, в случае указания об этом получателем субсидии в заявлении, в размере 90 процентов от суммы субсидии на строительство объекта и приобретение технологического оборудования.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5. В случае изменения стоимости строительства объекта размер субсидии подлежит перерасчету в соответствии со сводным и (или) объектным сметным расчетом стоимости строительства с учетом </w:t>
      </w:r>
      <w:hyperlink w:anchor="P66" w:history="1">
        <w:r>
          <w:rPr>
            <w:color w:val="0000FF"/>
          </w:rPr>
          <w:t>пункта 3</w:t>
        </w:r>
      </w:hyperlink>
      <w:r>
        <w:t xml:space="preserve"> настоящей статьи.</w:t>
      </w:r>
    </w:p>
    <w:p w:rsidR="00FC1AB1" w:rsidRDefault="00FC1AB1">
      <w:pPr>
        <w:pStyle w:val="ConsPlusNormal"/>
        <w:spacing w:before="240"/>
        <w:ind w:firstLine="540"/>
        <w:jc w:val="both"/>
      </w:pPr>
      <w:bookmarkStart w:id="4" w:name="P71"/>
      <w:bookmarkEnd w:id="4"/>
      <w:r>
        <w:t>6. Субсидии, предусмотренные настоящей статьей, предоставляются получателю субсидии при условии осуществления им уставной деятельности не менее пяти лет со дня получения субсидии и использования им объекта по целевому назначению не менее пяти лет со дня получения субсидии.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7. В случае неисполнения условий, предусмотренных </w:t>
      </w:r>
      <w:hyperlink w:anchor="P71" w:history="1">
        <w:r>
          <w:rPr>
            <w:color w:val="0000FF"/>
          </w:rPr>
          <w:t>пунктом 6</w:t>
        </w:r>
      </w:hyperlink>
      <w:r>
        <w:t xml:space="preserve"> настоящей статьи, получатель субсидии в течение 30 дней со дня установления органом исполнительной власти края в сфере агропромышленного комплекса факта неисполнения условий возвращает в краевой бюджет денежные средства, полученные на возмещение (финансовое обеспечение) части затрат на строительство объекта и приобретение технологического оборудования.</w:t>
      </w:r>
    </w:p>
    <w:p w:rsidR="00FC1AB1" w:rsidRDefault="00FC1AB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C1A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B1" w:rsidRDefault="00FC1AB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B1" w:rsidRDefault="00FC1AB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AB1" w:rsidRDefault="00FC1AB1">
            <w:pPr>
              <w:pStyle w:val="ConsPlusNormal"/>
              <w:jc w:val="both"/>
            </w:pPr>
            <w:r>
              <w:rPr>
                <w:color w:val="392C69"/>
              </w:rPr>
              <w:t xml:space="preserve">Ст. 6 </w:t>
            </w:r>
            <w:hyperlink w:anchor="P1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одновременно с вступлением в силу закона края о краевом бюджете, предусматривающего финансирование мероприятий, указанных в ст. 6, 7, 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B1" w:rsidRDefault="00FC1AB1">
            <w:pPr>
              <w:spacing w:after="1" w:line="0" w:lineRule="atLeast"/>
            </w:pPr>
          </w:p>
        </w:tc>
      </w:tr>
    </w:tbl>
    <w:p w:rsidR="00FC1AB1" w:rsidRDefault="00FC1AB1">
      <w:pPr>
        <w:pStyle w:val="ConsPlusTitle"/>
        <w:spacing w:before="300"/>
        <w:ind w:firstLine="540"/>
        <w:jc w:val="both"/>
        <w:outlineLvl w:val="0"/>
      </w:pPr>
      <w:bookmarkStart w:id="5" w:name="P75"/>
      <w:bookmarkEnd w:id="5"/>
      <w:r>
        <w:t>Статья 6. Возмещение части затрат,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r>
        <w:t>1. Средства на возмещение части затрат,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края, предоставляются кооперативам в форме субсидий.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2. Предоставление субсидий, предусмотренных настоящей статьей, осуществляется при соблюдении кооперативом следующих условий: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а) осуществление перевозки продовольственной продукции, прошедшей добровольную сертификацию и включенной в перечень, утвержденный органом исполнительной власти края в сфере агропромышленного комплекса;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б) осуществление перевозки продовольственной продукции, закупленной у членов кооператива.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Размер субсидии определяется исходя из фактических затрат на перевозку продовольственной продукции внутренним водным транспортом в соответствии с договором перевозки груза (с учетом налога на добавленную стоимость - для получателей субсидий, не являющихся налогоплательщиками налога на добавленную стоимость, и без </w:t>
      </w:r>
      <w:r>
        <w:lastRenderedPageBreak/>
        <w:t>учета налога на добавленную стоимость - для получателей субсидий, являющихся налогоплательщиками налога на добавленную стоимость) и ставки субсидирования в процентах от затрат на</w:t>
      </w:r>
      <w:proofErr w:type="gramEnd"/>
      <w:r>
        <w:t xml:space="preserve"> перевозку продовольственной продукции.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Максимальный размер субсидии, предоставляемый одному получателю субсидий в соответствии с настоящей статьей, не может превышать 50000,0 тыс. рублей в год.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4. Субсидированию подлежат фактические затраты на перевозку продовольственной продукции, произведенные в период с июня по октябрь года предоставления субсидии включительно.</w:t>
      </w:r>
    </w:p>
    <w:p w:rsidR="00FC1AB1" w:rsidRDefault="00FC1AB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C1A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B1" w:rsidRDefault="00FC1AB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B1" w:rsidRDefault="00FC1AB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AB1" w:rsidRDefault="00FC1AB1">
            <w:pPr>
              <w:pStyle w:val="ConsPlusNormal"/>
              <w:jc w:val="both"/>
            </w:pPr>
            <w:r>
              <w:rPr>
                <w:color w:val="392C69"/>
              </w:rPr>
              <w:t xml:space="preserve">Ст. 7 </w:t>
            </w:r>
            <w:hyperlink w:anchor="P1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одновременно с вступлением в силу закона края о краевом бюджете, предусматривающего финансирование мероприятий, указанных в ст. 6, 7, 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B1" w:rsidRDefault="00FC1AB1">
            <w:pPr>
              <w:spacing w:after="1" w:line="0" w:lineRule="atLeast"/>
            </w:pPr>
          </w:p>
        </w:tc>
      </w:tr>
    </w:tbl>
    <w:p w:rsidR="00FC1AB1" w:rsidRDefault="00FC1AB1">
      <w:pPr>
        <w:pStyle w:val="ConsPlusTitle"/>
        <w:spacing w:before="300"/>
        <w:ind w:firstLine="540"/>
        <w:jc w:val="both"/>
        <w:outlineLvl w:val="0"/>
      </w:pPr>
      <w:bookmarkStart w:id="6" w:name="P86"/>
      <w:bookmarkEnd w:id="6"/>
      <w:r>
        <w:t>Статья 7. Возмещение части затрат, связанных с закупкой продовольственной продукции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r>
        <w:t>1. Средства на возмещение части затрат, связанных с закупкой продовольственной продукции, предоставляются кооперативам в форме субсидий.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2. Субсидии, предусмотренные настоящей статьей, предоставляются при условии, что по итогам отчетного периода общий объем продукции в стоимостном выражении, закупленной кооперативом у членов кооператива, составляет не менее 70 процентов общего объема закупленной кооперативом продукции. При этом объем закупаемой продовольственной продукц</w:t>
      </w:r>
      <w:proofErr w:type="gramStart"/>
      <w:r>
        <w:t>ии у о</w:t>
      </w:r>
      <w:proofErr w:type="gramEnd"/>
      <w:r>
        <w:t>дного члена кооператива не должен превышать 15 процентов всего объема закупаемой кооперативом продовольственной продукции у членов кооператива по итогам отчетного периода, за который предоставляется субсидия.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Размер субсидии определяется исходя из затрат, связанных с закупкой продовольственной продукции, за отчетный период (с учетом налога на добавленную стоимость - для получателей субсидий, не являющихся налогоплательщиками налога на добавленную стоимость, и без учета налога на добавленную стоимость - для получателей субсидий, являющихся налогоплательщиками налога на добавленную стоимость) и ставки субсидирования в процентах от затрат.</w:t>
      </w:r>
      <w:proofErr w:type="gramEnd"/>
    </w:p>
    <w:p w:rsidR="00FC1AB1" w:rsidRDefault="00FC1AB1">
      <w:pPr>
        <w:pStyle w:val="ConsPlusNormal"/>
        <w:spacing w:before="240"/>
        <w:ind w:firstLine="540"/>
        <w:jc w:val="both"/>
      </w:pPr>
      <w:r>
        <w:t>4. Отчетным периодом является квартал в периоде с четвертого квартала года, предшествующего году предоставления субсидий, по третий квартал года предоставления субсидий включительно.</w:t>
      </w:r>
    </w:p>
    <w:p w:rsidR="00FC1AB1" w:rsidRDefault="00FC1AB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C1A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B1" w:rsidRDefault="00FC1AB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B1" w:rsidRDefault="00FC1AB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AB1" w:rsidRDefault="00FC1AB1">
            <w:pPr>
              <w:pStyle w:val="ConsPlusNormal"/>
              <w:jc w:val="both"/>
            </w:pPr>
            <w:r>
              <w:rPr>
                <w:color w:val="392C69"/>
              </w:rPr>
              <w:t xml:space="preserve">Ст. 8 </w:t>
            </w:r>
            <w:hyperlink w:anchor="P1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одновременно с вступлением в силу закона края о краевом бюджете, предусматривающего финансирование мероприятий, указанных в ст. 6, 7, 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AB1" w:rsidRDefault="00FC1AB1">
            <w:pPr>
              <w:spacing w:after="1" w:line="0" w:lineRule="atLeast"/>
            </w:pPr>
          </w:p>
        </w:tc>
      </w:tr>
    </w:tbl>
    <w:p w:rsidR="00FC1AB1" w:rsidRDefault="00FC1AB1">
      <w:pPr>
        <w:pStyle w:val="ConsPlusTitle"/>
        <w:spacing w:before="300"/>
        <w:ind w:firstLine="540"/>
        <w:jc w:val="both"/>
        <w:outlineLvl w:val="0"/>
      </w:pPr>
      <w:bookmarkStart w:id="7" w:name="P94"/>
      <w:bookmarkEnd w:id="7"/>
      <w:r>
        <w:t>Статья 8. Возмещение части затрат, связанных с оказанием услуг по продвижению пищевых продуктов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r>
        <w:t>1. Средства на возмещение части затрат, связанных с оказанием услуг по продвижению пищевых продуктов, предоставляются сельскохозяйственным организациям, некоммерческим организациям в форме субсидий.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2. Субсидии, предусмотренные настоящей статьей, не могут быть распределены между членами (участниками) некоммерческих организаций.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lastRenderedPageBreak/>
        <w:t>3. Предоставление субсидий, предусмотренных настоящей статьей, осуществляется при соблюдении получателем субсидии следующих условий:</w:t>
      </w:r>
    </w:p>
    <w:p w:rsidR="00FC1AB1" w:rsidRDefault="00FC1AB1">
      <w:pPr>
        <w:pStyle w:val="ConsPlusNormal"/>
        <w:spacing w:before="240"/>
        <w:ind w:firstLine="540"/>
        <w:jc w:val="both"/>
      </w:pPr>
      <w:proofErr w:type="gramStart"/>
      <w:r>
        <w:t xml:space="preserve">а) наличие программы, утвержденной уполномоченным органом сельскохозяйственной организации или некоммерческой организации, соответствующей требованиям, установленным </w:t>
      </w:r>
      <w:hyperlink w:anchor="P15" w:history="1">
        <w:r>
          <w:rPr>
            <w:color w:val="0000FF"/>
          </w:rPr>
          <w:t>статьей 1</w:t>
        </w:r>
      </w:hyperlink>
      <w:r>
        <w:t xml:space="preserve"> настоящего Закона;</w:t>
      </w:r>
      <w:proofErr w:type="gramEnd"/>
    </w:p>
    <w:p w:rsidR="00FC1AB1" w:rsidRDefault="00FC1AB1">
      <w:pPr>
        <w:pStyle w:val="ConsPlusNormal"/>
        <w:spacing w:before="240"/>
        <w:ind w:firstLine="540"/>
        <w:jc w:val="both"/>
      </w:pPr>
      <w:r>
        <w:t>б) выполнение программы в установленные в ней сроки по состоянию на первое число месяца подачи заявления о предоставлении субсидии.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Программа принимается в текущем году и может изменяться не чаще чем один раз в квартал.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4. Субсидии на возмещение части затрат, связанных с оказанием услуг по продвижению пищевых продуктов, предоставляются по дифференцированным ставкам в зависимости от следующих групп услуг по продвижению пищевых продуктов: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первая группа - исследование, мониторинг и прогнозирование продовольственного рынка края, мониторинг эффективности продвижения пищевых продуктов, прошедших добровольную сертификацию;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вторая группа - разработка, создание, размещение и демонстрация информационно-просветительских и рекламных материалов о пищевых продуктах, прошедших добровольную сертификацию, и (или) их производителях.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Размер субсидии, предусмотренной настоящей статьей, определяется исходя из фактических затрат, связанных с оказанием услуг по продвижению пищевых продуктов, за отчетный период (с учетом налога на добавленную стоимость - для получателей субсидий, освобожденных от исполнения обязанностей, связанных с исчислением и уплатой налога на добавленную стоимость, и без учета налога на добавленную стоимость - для получателей субсидий, являющихся налогоплательщиками налога на добавленную стоимость) и</w:t>
      </w:r>
      <w:proofErr w:type="gramEnd"/>
      <w:r>
        <w:t xml:space="preserve"> ставки субсидирования в процентах от затрат.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Максимальный размер субсидии, предоставляемый одному получателю субсидий в соответствии с настоящей статьей, не может превышать 36000,0 тыс. рублей в год.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6. Отчетным периодом является каждый месяц с декабря предыдущего года по ноябрь текущего года включительно.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ind w:firstLine="540"/>
        <w:jc w:val="both"/>
      </w:pPr>
      <w:r>
        <w:t>1. Настоящий Закон вступает в силу с 1 января 2021 года, за исключением положений настоящего Закона, для которых установлены иные сроки вступления в силу.</w:t>
      </w:r>
    </w:p>
    <w:p w:rsidR="00FC1AB1" w:rsidRDefault="00FC1AB1">
      <w:pPr>
        <w:pStyle w:val="ConsPlusNormal"/>
        <w:spacing w:before="240"/>
        <w:ind w:firstLine="540"/>
        <w:jc w:val="both"/>
      </w:pPr>
      <w:bookmarkStart w:id="8" w:name="P112"/>
      <w:bookmarkEnd w:id="8"/>
      <w:r>
        <w:t xml:space="preserve">2. </w:t>
      </w:r>
      <w:hyperlink w:anchor="P75" w:history="1">
        <w:r>
          <w:rPr>
            <w:color w:val="0000FF"/>
          </w:rPr>
          <w:t>Статьи 6</w:t>
        </w:r>
      </w:hyperlink>
      <w:r>
        <w:t xml:space="preserve">, </w:t>
      </w:r>
      <w:hyperlink w:anchor="P86" w:history="1">
        <w:r>
          <w:rPr>
            <w:color w:val="0000FF"/>
          </w:rPr>
          <w:t>7</w:t>
        </w:r>
      </w:hyperlink>
      <w:r>
        <w:t xml:space="preserve">, </w:t>
      </w:r>
      <w:hyperlink w:anchor="P94" w:history="1">
        <w:r>
          <w:rPr>
            <w:color w:val="0000FF"/>
          </w:rPr>
          <w:t>8</w:t>
        </w:r>
      </w:hyperlink>
      <w:r>
        <w:t xml:space="preserve"> настоящего Закона вступают в силу одновременно с вступлением в силу закона края о краевом бюджете, предусматривающего финансирование мероприятий, указанных в </w:t>
      </w:r>
      <w:hyperlink w:anchor="P75" w:history="1">
        <w:r>
          <w:rPr>
            <w:color w:val="0000FF"/>
          </w:rPr>
          <w:t>статьях 6</w:t>
        </w:r>
      </w:hyperlink>
      <w:r>
        <w:t xml:space="preserve">, </w:t>
      </w:r>
      <w:hyperlink w:anchor="P86" w:history="1">
        <w:r>
          <w:rPr>
            <w:color w:val="0000FF"/>
          </w:rPr>
          <w:t>7</w:t>
        </w:r>
      </w:hyperlink>
      <w:r>
        <w:t xml:space="preserve">, </w:t>
      </w:r>
      <w:hyperlink w:anchor="P94" w:history="1">
        <w:r>
          <w:rPr>
            <w:color w:val="0000FF"/>
          </w:rPr>
          <w:t>8</w:t>
        </w:r>
      </w:hyperlink>
      <w:r>
        <w:t xml:space="preserve"> настоящего Закона.</w:t>
      </w:r>
    </w:p>
    <w:p w:rsidR="00FC1AB1" w:rsidRDefault="00FC1AB1">
      <w:pPr>
        <w:pStyle w:val="ConsPlusNormal"/>
        <w:spacing w:before="240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FC1AB1" w:rsidRDefault="00FC1AB1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статью 45.1</w:t>
        </w:r>
      </w:hyperlink>
      <w:r>
        <w:t xml:space="preserve"> Закона края от 21 февраля 2006 года N 17-4487 "О государственной поддержке субъектов агропромышленного комплекса края" (Ведомости высших органов государственной власти Красноярского края, 13 марта 2006 года, N 10 (103);</w:t>
      </w:r>
    </w:p>
    <w:p w:rsidR="00FC1AB1" w:rsidRDefault="00FC1AB1">
      <w:pPr>
        <w:pStyle w:val="ConsPlusNormal"/>
        <w:spacing w:before="240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 26 статьи 1</w:t>
        </w:r>
      </w:hyperlink>
      <w:r>
        <w:t xml:space="preserve"> Закона края от 19 декабр</w:t>
      </w:r>
      <w:bookmarkStart w:id="9" w:name="_GoBack"/>
      <w:bookmarkEnd w:id="9"/>
      <w:r>
        <w:t>я 2019 года N 8-3542 "О внесении изменений в Закон края "О государственной поддержке субъектов агропромышленного комплекса края" и в статью 1 Закона края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(Официальный интернет-портал правовой информации Красноярского края (www.zakon.krskstate.ru), 25 декабря</w:t>
      </w:r>
      <w:proofErr w:type="gramEnd"/>
      <w:r>
        <w:t xml:space="preserve"> </w:t>
      </w:r>
      <w:proofErr w:type="gramStart"/>
      <w:r>
        <w:t>2019 года).</w:t>
      </w:r>
      <w:proofErr w:type="gramEnd"/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jc w:val="right"/>
      </w:pPr>
      <w:r>
        <w:t>Губернатор</w:t>
      </w:r>
    </w:p>
    <w:p w:rsidR="00FC1AB1" w:rsidRDefault="00FC1AB1">
      <w:pPr>
        <w:pStyle w:val="ConsPlusNormal"/>
        <w:jc w:val="right"/>
      </w:pPr>
      <w:r>
        <w:t>Красноярского края</w:t>
      </w:r>
    </w:p>
    <w:p w:rsidR="00FC1AB1" w:rsidRDefault="00FC1AB1">
      <w:pPr>
        <w:pStyle w:val="ConsPlusNormal"/>
        <w:jc w:val="right"/>
      </w:pPr>
      <w:r>
        <w:t>А.В.УСС</w:t>
      </w:r>
    </w:p>
    <w:p w:rsidR="00FC1AB1" w:rsidRDefault="00FC1AB1">
      <w:pPr>
        <w:pStyle w:val="ConsPlusNormal"/>
        <w:jc w:val="right"/>
      </w:pPr>
      <w:r>
        <w:t>25.12.2020</w:t>
      </w: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jc w:val="both"/>
      </w:pPr>
    </w:p>
    <w:p w:rsidR="00FC1AB1" w:rsidRDefault="00FC1A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484" w:rsidRDefault="00942484"/>
    <w:sectPr w:rsidR="00942484" w:rsidSect="00AD65B4">
      <w:pgSz w:w="11906" w:h="16838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B1"/>
    <w:rsid w:val="00942484"/>
    <w:rsid w:val="00A90167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B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C1AB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C1A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B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C1AB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C1A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1C12E9301AED8C5D0955028C31725E100878DDBBFA1BB657111F49792B78FDA901357ECF3DAB077E6437782I3J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D1C12E9301AED8C5D0955028C31725E608868AD3BEA1BB657111F49792B78FDA901357ECF3DAB077E6437782I3JEE" TargetMode="External"/><Relationship Id="rId12" Type="http://schemas.openxmlformats.org/officeDocument/2006/relationships/hyperlink" Target="consultantplus://offline/ref=1FD1C12E9301AED8C5D08B5D3EAF482AE60BD086D1B3A3EA382417A3C8C2B1DA88D04D0EADB4C9B174F842758837CA1E80256DDDAB13C80BA7EDADCAIFJ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E0248A4C6B1E3F7AE5E553457D681CF8B8E425D8E819F2C605FCE921B1A22EB315F284CABC0B548CAEFE8193FCDDF02539125D0F76A65CHAJ4E" TargetMode="External"/><Relationship Id="rId11" Type="http://schemas.openxmlformats.org/officeDocument/2006/relationships/hyperlink" Target="consultantplus://offline/ref=1FD1C12E9301AED8C5D08B5D3EAF482AE60BD086D1B2A3E8382617A3C8C2B1DA88D04D0EADB4C9B174FD497F8237CA1E80256DDDAB13C80BA7EDADCAIFJ5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FD1C12E9301AED8C5D0955028C31725E1008C8DD7B4A1BB657111F49792B78FDA901357ECF3DAB077E6437782I3J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1C12E9301AED8C5D0955028C31725E6098E89D4BEA1BB657111F49792B78FDA901357ECF3DAB077E6437782I3J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shtabel_lr</dc:creator>
  <cp:lastModifiedBy>shtabel_lr</cp:lastModifiedBy>
  <cp:revision>1</cp:revision>
  <dcterms:created xsi:type="dcterms:W3CDTF">2022-03-23T04:09:00Z</dcterms:created>
  <dcterms:modified xsi:type="dcterms:W3CDTF">2022-03-23T04:10:00Z</dcterms:modified>
</cp:coreProperties>
</file>