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.0.0 -->
  <w:body>
    <w:tbl>
      <w:tblPr>
        <w:tblW w:w="9622" w:type="dxa"/>
        <w:jc w:val="center"/>
        <w:tblInd w:w="175" w:type="dxa"/>
        <w:tblLayout w:type="fixed"/>
        <w:tblLook w:val="0000"/>
      </w:tblPr>
      <w:tblGrid>
        <w:gridCol w:w="4510"/>
        <w:gridCol w:w="19"/>
        <w:gridCol w:w="2460"/>
        <w:gridCol w:w="110"/>
        <w:gridCol w:w="2523"/>
      </w:tblGrid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jc w:val="center"/>
              <w:rPr>
                <w:b/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715134" w:rsidP="00E458DE">
            <w:pPr>
              <w:rPr>
                <w:color w:val="000000" w:themeColor="text1"/>
              </w:rPr>
            </w:pPr>
          </w:p>
        </w:tc>
      </w:tr>
      <w:tr w:rsidTr="0005648D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4529" w:type="dxa"/>
            <w:gridSpan w:val="2"/>
          </w:tcPr>
          <w:p w:rsidR="006A1ECA" w:rsidRPr="000008B8" w:rsidP="00E458DE">
            <w:pPr>
              <w:ind w:left="459"/>
              <w:rPr>
                <w:color w:val="000000" w:themeColor="text1"/>
              </w:rPr>
            </w:pPr>
          </w:p>
        </w:tc>
        <w:tc>
          <w:tcPr>
            <w:tcW w:w="5093" w:type="dxa"/>
            <w:gridSpan w:val="3"/>
          </w:tcPr>
          <w:tbl>
            <w:tblPr>
              <w:tblW w:w="9420" w:type="dxa"/>
              <w:jc w:val="center"/>
              <w:tblInd w:w="108" w:type="dxa"/>
              <w:tblLayout w:type="fixed"/>
              <w:tblLook w:val="04A0"/>
            </w:tblPr>
            <w:tblGrid>
              <w:gridCol w:w="9420"/>
            </w:tblGrid>
            <w:tr w:rsidTr="00EF1CAB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448"/>
                <w:jc w:val="center"/>
              </w:trPr>
              <w:tc>
                <w:tcPr>
                  <w:tcW w:w="6236" w:type="dxa"/>
                  <w:hideMark/>
                </w:tcPr>
                <w:p w:rsidR="00EF1CAB">
                  <w:pPr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УТВЕРЖДЕНА</w:t>
                  </w:r>
                </w:p>
              </w:tc>
            </w:tr>
            <w:tr w:rsidTr="00EF1CAB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EF1CAB" w:rsidP="00950764">
                  <w:pPr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приказом </w:t>
                  </w:r>
                  <w:r w:rsidR="00950764">
                    <w:rPr>
                      <w:color w:val="000000" w:themeColor="text1"/>
                      <w:sz w:val="26"/>
                      <w:szCs w:val="26"/>
                    </w:rPr>
                    <w:t>Енисейского</w:t>
                  </w:r>
                  <w:r w:rsidR="00950764">
                    <w:rPr>
                      <w:color w:val="000000" w:themeColor="text1"/>
                      <w:sz w:val="26"/>
                      <w:szCs w:val="26"/>
                    </w:rPr>
                    <w:t xml:space="preserve"> БВУ</w:t>
                  </w:r>
                </w:p>
              </w:tc>
            </w:tr>
            <w:tr w:rsidTr="00EF1CAB">
              <w:tblPrEx>
                <w:tblW w:w="9420" w:type="dxa"/>
                <w:jc w:val="center"/>
                <w:tblInd w:w="108" w:type="dxa"/>
                <w:tblLayout w:type="fixed"/>
                <w:tblLook w:val="04A0"/>
              </w:tblPrEx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EF1CAB" w:rsidP="0005648D">
                  <w:pPr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от «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19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»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июня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2014 г. №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94</w:t>
                  </w:r>
                </w:p>
              </w:tc>
            </w:tr>
          </w:tbl>
          <w:p w:rsidR="006A1ECA" w:rsidP="00E458DE">
            <w:pPr>
              <w:rPr>
                <w:color w:val="000000" w:themeColor="text1"/>
              </w:rPr>
            </w:pPr>
          </w:p>
          <w:p w:rsidR="006A1ECA" w:rsidP="00E458DE">
            <w:pPr>
              <w:rPr>
                <w:color w:val="000000" w:themeColor="text1"/>
              </w:rPr>
            </w:pPr>
          </w:p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hRule="exact" w:val="320"/>
          <w:jc w:val="center"/>
        </w:trPr>
        <w:tc>
          <w:tcPr>
            <w:tcW w:w="6989" w:type="dxa"/>
            <w:gridSpan w:val="3"/>
          </w:tcPr>
          <w:p w:rsidR="006A1ECA" w:rsidP="00E458DE">
            <w:pPr>
              <w:rPr>
                <w:color w:val="000000" w:themeColor="text1"/>
              </w:rPr>
            </w:pPr>
          </w:p>
          <w:p w:rsidR="006A1ECA" w:rsidRPr="000008B8" w:rsidP="00E458DE">
            <w:pPr>
              <w:rPr>
                <w:color w:val="000000" w:themeColor="text1"/>
              </w:rPr>
            </w:pPr>
          </w:p>
        </w:tc>
        <w:tc>
          <w:tcPr>
            <w:tcW w:w="2633" w:type="dxa"/>
            <w:gridSpan w:val="2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P="00E458DE">
            <w:pPr>
              <w:rPr>
                <w:color w:val="000000" w:themeColor="text1"/>
              </w:rPr>
            </w:pPr>
          </w:p>
          <w:p w:rsidR="006A1ECA" w:rsidP="00E458DE">
            <w:pPr>
              <w:rPr>
                <w:color w:val="000000" w:themeColor="text1"/>
              </w:rPr>
            </w:pPr>
          </w:p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EF1CAB" w:rsidP="00E458DE">
            <w:pPr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EF1CAB">
              <w:rPr>
                <w:b/>
                <w:color w:val="000000" w:themeColor="text1"/>
                <w:sz w:val="36"/>
                <w:szCs w:val="32"/>
              </w:rPr>
              <w:t>СХЕМА КОМПЛЕКСНОГО ИСПОЛЬЗОВАНИЯ И ОХРАНЫ ВОДНЫХ ОБЪЕКТОВ</w:t>
            </w:r>
          </w:p>
          <w:p w:rsidR="006A1ECA" w:rsidRPr="00C46CA4" w:rsidP="00E458DE">
            <w:pPr>
              <w:jc w:val="center"/>
              <w:rPr>
                <w:color w:val="000000" w:themeColor="text1"/>
              </w:rPr>
            </w:pPr>
            <w:r w:rsidRPr="00EF1CAB">
              <w:rPr>
                <w:b/>
                <w:color w:val="000000" w:themeColor="text1"/>
                <w:sz w:val="36"/>
                <w:szCs w:val="32"/>
              </w:rPr>
              <w:t>БАССЕЙНА РЕКИ ЕНИСЕЙ</w:t>
            </w: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P="00E458DE">
            <w:pPr>
              <w:jc w:val="center"/>
              <w:rPr>
                <w:color w:val="000000" w:themeColor="text1"/>
              </w:rPr>
            </w:pPr>
          </w:p>
          <w:p w:rsidR="006A1ECA" w:rsidRPr="000008B8" w:rsidP="00E458DE">
            <w:pPr>
              <w:jc w:val="center"/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P="00E458DE">
            <w:pPr>
              <w:spacing w:after="240"/>
              <w:jc w:val="center"/>
              <w:rPr>
                <w:b/>
                <w:color w:val="000000" w:themeColor="text1"/>
                <w:sz w:val="32"/>
                <w:szCs w:val="36"/>
              </w:rPr>
            </w:pPr>
            <w:r w:rsidRPr="00EF1CAB">
              <w:rPr>
                <w:b/>
                <w:color w:val="000000" w:themeColor="text1"/>
                <w:sz w:val="32"/>
                <w:szCs w:val="36"/>
              </w:rPr>
              <w:t>ПРИЛОЖЕНИЕ 7</w:t>
            </w:r>
          </w:p>
          <w:p w:rsidR="00EF1CAB" w:rsidRPr="00EF1CAB" w:rsidP="00E458DE">
            <w:pPr>
              <w:spacing w:after="240"/>
              <w:jc w:val="center"/>
              <w:rPr>
                <w:b/>
                <w:color w:val="000000" w:themeColor="text1"/>
                <w:sz w:val="32"/>
                <w:szCs w:val="36"/>
              </w:rPr>
            </w:pPr>
          </w:p>
          <w:p w:rsidR="006A1ECA" w:rsidRPr="000008B8" w:rsidP="00E458DE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>
              <w:rPr>
                <w:b/>
                <w:color w:val="000000" w:themeColor="text1"/>
                <w:sz w:val="36"/>
                <w:szCs w:val="36"/>
              </w:rPr>
              <w:t>ПОЯСНИТЕЛЬНАЯ ЗАПИСКА К К</w:t>
            </w:r>
            <w:r w:rsidRPr="000008B8">
              <w:rPr>
                <w:b/>
                <w:color w:val="000000" w:themeColor="text1"/>
                <w:sz w:val="36"/>
                <w:szCs w:val="36"/>
              </w:rPr>
              <w:t>НИГ</w:t>
            </w:r>
            <w:r>
              <w:rPr>
                <w:b/>
                <w:color w:val="000000" w:themeColor="text1"/>
                <w:sz w:val="36"/>
                <w:szCs w:val="36"/>
              </w:rPr>
              <w:t>Е</w:t>
            </w:r>
            <w:r w:rsidRPr="000008B8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b/>
                <w:color w:val="000000" w:themeColor="text1"/>
                <w:sz w:val="36"/>
                <w:szCs w:val="36"/>
              </w:rPr>
              <w:t>5</w:t>
            </w:r>
            <w:r w:rsidRPr="000008B8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P="00E458DE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ЛИМИТЫ И КВОТЫ Н</w:t>
            </w:r>
            <w:r>
              <w:rPr>
                <w:b/>
                <w:color w:val="000000" w:themeColor="text1"/>
                <w:sz w:val="36"/>
                <w:szCs w:val="36"/>
              </w:rPr>
              <w:t>А ЗАБОР ВОДЫ ИЗ ВОДНЫХ ОБЪЕКТОВ</w:t>
            </w:r>
          </w:p>
          <w:p w:rsidR="006A1ECA" w:rsidRPr="00D974C7" w:rsidP="00E458DE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D974C7">
              <w:rPr>
                <w:b/>
                <w:color w:val="000000" w:themeColor="text1"/>
                <w:sz w:val="36"/>
                <w:szCs w:val="36"/>
              </w:rPr>
              <w:t>И СБРОС СТОЧНЫХ ВОД</w:t>
            </w: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D974C7" w:rsidP="00E458DE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jc w:val="center"/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jc w:val="center"/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ind w:left="459"/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jc w:val="center"/>
        </w:trPr>
        <w:tc>
          <w:tcPr>
            <w:tcW w:w="9622" w:type="dxa"/>
            <w:gridSpan w:val="5"/>
          </w:tcPr>
          <w:p w:rsidR="006A1ECA" w:rsidRPr="000008B8" w:rsidP="00E458DE">
            <w:pPr>
              <w:ind w:left="459"/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ind w:left="459"/>
              <w:jc w:val="lef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Tr="00EF1CAB">
        <w:tblPrEx>
          <w:tblW w:w="9622" w:type="dxa"/>
          <w:jc w:val="center"/>
          <w:tblInd w:w="175" w:type="dxa"/>
          <w:tblLayout w:type="fixed"/>
          <w:tblLook w:val="0000"/>
        </w:tblPrEx>
        <w:trPr>
          <w:trHeight w:val="220"/>
          <w:jc w:val="center"/>
        </w:trPr>
        <w:tc>
          <w:tcPr>
            <w:tcW w:w="4510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89" w:type="dxa"/>
            <w:gridSpan w:val="3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23" w:type="dxa"/>
          </w:tcPr>
          <w:p w:rsidR="006A1ECA" w:rsidRPr="000008B8" w:rsidP="00E458DE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6A1ECA" w:rsidP="006A1ECA">
      <w:pPr>
        <w:rPr>
          <w:rFonts w:asciiTheme="majorHAnsi" w:eastAsiaTheme="majorEastAsia" w:hAnsiTheme="majorHAnsi" w:cstheme="majorBidi"/>
          <w:caps/>
        </w:rPr>
        <w:sectPr w:rsidSect="00430C58">
          <w:footerReference w:type="default" r:id="rId5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P="002B40C2">
      <w:pPr>
        <w:pageBreakBefore/>
        <w:spacing w:before="240" w:after="120" w:line="360" w:lineRule="auto"/>
        <w:ind w:hanging="142"/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4E605B" w:rsidP="004E605B">
          <w:pPr>
            <w:pStyle w:val="TOCHeading"/>
            <w:spacing w:before="0" w:line="360" w:lineRule="auto"/>
            <w:rPr>
              <w:color w:val="auto"/>
            </w:rPr>
          </w:pPr>
        </w:p>
        <w:p w:rsidR="008F7FFB" w:rsidRPr="008F7FFB" w:rsidP="008F7FFB">
          <w:pPr>
            <w:pStyle w:val="TOC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4E605B">
            <w:rPr>
              <w:color w:val="auto"/>
            </w:rPr>
            <w:fldChar w:fldCharType="begin"/>
          </w:r>
          <w:r w:rsidRPr="004E605B" w:rsidR="005A6FE0">
            <w:rPr>
              <w:color w:val="auto"/>
            </w:rPr>
            <w:instrText xml:space="preserve"> TOC \o "1-3" \h \z \u </w:instrText>
          </w:r>
          <w:r w:rsidRPr="004E605B">
            <w:rPr>
              <w:color w:val="auto"/>
            </w:rPr>
            <w:fldChar w:fldCharType="separate"/>
          </w:r>
          <w:r>
            <w:fldChar w:fldCharType="begin"/>
          </w:r>
          <w:r>
            <w:instrText xml:space="preserve"> HYPERLINK \l "_Toc386539205" </w:instrText>
          </w:r>
          <w:r>
            <w:fldChar w:fldCharType="separate"/>
          </w:r>
          <w:r w:rsidRPr="008F7FFB">
            <w:rPr>
              <w:rStyle w:val="Hyperlink"/>
              <w:noProof/>
              <w:color w:val="auto"/>
            </w:rPr>
            <w:t>Введение</w:t>
          </w:r>
          <w:r w:rsidRPr="008F7FFB">
            <w:rPr>
              <w:noProof/>
              <w:webHidden/>
              <w:color w:val="auto"/>
            </w:rPr>
            <w:tab/>
          </w:r>
          <w:r w:rsidRPr="008F7FFB">
            <w:rPr>
              <w:noProof/>
              <w:webHidden/>
              <w:color w:val="auto"/>
            </w:rPr>
            <w:fldChar w:fldCharType="begin"/>
          </w:r>
          <w:r w:rsidRPr="008F7FFB">
            <w:rPr>
              <w:noProof/>
              <w:webHidden/>
              <w:color w:val="auto"/>
            </w:rPr>
            <w:instrText xml:space="preserve"> PAGEREF _Toc386539205 \h </w:instrText>
          </w:r>
          <w:r w:rsidRPr="008F7FFB">
            <w:rPr>
              <w:noProof/>
              <w:webHidden/>
              <w:color w:val="auto"/>
            </w:rPr>
            <w:fldChar w:fldCharType="separate"/>
          </w:r>
          <w:r w:rsidR="00486CFF">
            <w:rPr>
              <w:noProof/>
              <w:webHidden/>
              <w:color w:val="auto"/>
            </w:rPr>
            <w:t>3</w:t>
          </w:r>
          <w:r w:rsidRPr="008F7FFB">
            <w:rPr>
              <w:noProof/>
              <w:webHidden/>
              <w:color w:val="auto"/>
            </w:rPr>
            <w:fldChar w:fldCharType="end"/>
          </w:r>
          <w:r>
            <w:fldChar w:fldCharType="end"/>
          </w:r>
        </w:p>
        <w:p w:rsidR="008F7FFB" w:rsidRPr="008F7FFB" w:rsidP="008F7FFB">
          <w:pPr>
            <w:pStyle w:val="TOC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"_Toc386539206" </w:instrText>
          </w:r>
          <w:r>
            <w:fldChar w:fldCharType="separate"/>
          </w:r>
          <w:r w:rsidRPr="008F7FFB">
            <w:rPr>
              <w:rStyle w:val="Hyperlink"/>
              <w:noProof/>
              <w:color w:val="auto"/>
            </w:rPr>
            <w:t>1 Расчет лимитов на забор водных ресурсов и сброс сточных вод в водные объекты речного бассейна</w:t>
          </w:r>
          <w:r w:rsidRPr="008F7FFB">
            <w:rPr>
              <w:noProof/>
              <w:webHidden/>
              <w:color w:val="auto"/>
            </w:rPr>
            <w:tab/>
          </w:r>
          <w:r w:rsidRPr="008F7FFB">
            <w:rPr>
              <w:noProof/>
              <w:webHidden/>
              <w:color w:val="auto"/>
            </w:rPr>
            <w:fldChar w:fldCharType="begin"/>
          </w:r>
          <w:r w:rsidRPr="008F7FFB">
            <w:rPr>
              <w:noProof/>
              <w:webHidden/>
              <w:color w:val="auto"/>
            </w:rPr>
            <w:instrText xml:space="preserve"> PAGEREF _Toc386539206 \h </w:instrText>
          </w:r>
          <w:r w:rsidRPr="008F7FFB">
            <w:rPr>
              <w:noProof/>
              <w:webHidden/>
              <w:color w:val="auto"/>
            </w:rPr>
            <w:fldChar w:fldCharType="separate"/>
          </w:r>
          <w:r w:rsidR="00486CFF">
            <w:rPr>
              <w:noProof/>
              <w:webHidden/>
              <w:color w:val="auto"/>
            </w:rPr>
            <w:t>4</w:t>
          </w:r>
          <w:r w:rsidRPr="008F7FFB">
            <w:rPr>
              <w:noProof/>
              <w:webHidden/>
              <w:color w:val="auto"/>
            </w:rPr>
            <w:fldChar w:fldCharType="end"/>
          </w:r>
          <w:r>
            <w:fldChar w:fldCharType="end"/>
          </w:r>
        </w:p>
        <w:p w:rsidR="008F7FFB" w:rsidP="008F7FFB">
          <w:pPr>
            <w:pStyle w:val="TOC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HYPERLINK \l "_Toc386539207" </w:instrText>
          </w:r>
          <w:r>
            <w:fldChar w:fldCharType="separate"/>
          </w:r>
          <w:r w:rsidRPr="008F7FFB">
            <w:rPr>
              <w:rStyle w:val="Hyperlink"/>
              <w:noProof/>
              <w:color w:val="auto"/>
            </w:rPr>
            <w:t>2 Установление квот забора (изъятия) водных ресурсов и сброса сточных вод в разрезе водохозяйственных участков, подбассейнов и частей бассейнов в пределах субъектов РФ</w:t>
          </w:r>
          <w:r w:rsidRPr="008F7FFB">
            <w:rPr>
              <w:noProof/>
              <w:webHidden/>
              <w:color w:val="auto"/>
            </w:rPr>
            <w:tab/>
          </w:r>
          <w:r w:rsidRPr="008F7FFB">
            <w:rPr>
              <w:noProof/>
              <w:webHidden/>
              <w:color w:val="auto"/>
            </w:rPr>
            <w:fldChar w:fldCharType="begin"/>
          </w:r>
          <w:r w:rsidRPr="008F7FFB">
            <w:rPr>
              <w:noProof/>
              <w:webHidden/>
              <w:color w:val="auto"/>
            </w:rPr>
            <w:instrText xml:space="preserve"> PAGEREF _Toc386539207 \h </w:instrText>
          </w:r>
          <w:r w:rsidRPr="008F7FFB">
            <w:rPr>
              <w:noProof/>
              <w:webHidden/>
              <w:color w:val="auto"/>
            </w:rPr>
            <w:fldChar w:fldCharType="separate"/>
          </w:r>
          <w:r w:rsidR="00486CFF">
            <w:rPr>
              <w:noProof/>
              <w:webHidden/>
              <w:color w:val="auto"/>
            </w:rPr>
            <w:t>4</w:t>
          </w:r>
          <w:r w:rsidRPr="008F7FFB">
            <w:rPr>
              <w:noProof/>
              <w:webHidden/>
              <w:color w:val="auto"/>
            </w:rPr>
            <w:fldChar w:fldCharType="end"/>
          </w:r>
          <w:r>
            <w:fldChar w:fldCharType="end"/>
          </w:r>
        </w:p>
        <w:p w:rsidR="005A6FE0" w:rsidRPr="004E605B" w:rsidP="004E605B">
          <w:pPr>
            <w:spacing w:line="360" w:lineRule="auto"/>
            <w:rPr>
              <w:color w:val="auto"/>
            </w:rPr>
          </w:pPr>
          <w:r w:rsidRPr="004E605B">
            <w:rPr>
              <w:color w:val="auto"/>
            </w:rPr>
            <w:fldChar w:fldCharType="end"/>
          </w:r>
        </w:p>
      </w:sdtContent>
    </w:sdt>
    <w:p w:rsidR="00DD6FB9" w:rsidRPr="004E605B" w:rsidP="004E605B">
      <w:pPr>
        <w:spacing w:after="200" w:line="360" w:lineRule="auto"/>
        <w:jc w:val="left"/>
        <w:rPr>
          <w:color w:val="auto"/>
        </w:rPr>
      </w:pPr>
      <w:r w:rsidRPr="004E605B">
        <w:rPr>
          <w:color w:val="auto"/>
        </w:rPr>
        <w:br w:type="page"/>
      </w:r>
    </w:p>
    <w:p w:rsidR="00247C47" w:rsidRPr="001478FE" w:rsidP="00FA19F9">
      <w:pPr>
        <w:pStyle w:val="Heading1"/>
        <w:spacing w:before="0"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86539205"/>
      <w:r w:rsidRPr="001478FE">
        <w:rPr>
          <w:rFonts w:ascii="Times New Roman" w:hAnsi="Times New Roman"/>
          <w:sz w:val="28"/>
          <w:szCs w:val="28"/>
        </w:rPr>
        <w:t>Вв</w:t>
      </w:r>
      <w:r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EF1CAB" w:rsidP="00EF1CAB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Схема комплексного использования и охраны водных объектов (СКИОВО) бассейна р. Енисей разработана 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EF1CAB" w:rsidP="00EF1CAB">
      <w:pPr>
        <w:spacing w:line="360" w:lineRule="auto"/>
        <w:ind w:firstLine="720"/>
        <w:rPr>
          <w:color w:val="auto"/>
          <w:szCs w:val="28"/>
        </w:rPr>
      </w:pPr>
      <w:r>
        <w:rPr>
          <w:color w:val="auto"/>
          <w:szCs w:val="28"/>
        </w:rPr>
        <w:t>Разработан</w:t>
      </w:r>
      <w:r w:rsidR="00122EAF">
        <w:rPr>
          <w:color w:val="auto"/>
          <w:szCs w:val="28"/>
        </w:rPr>
        <w:t>н</w:t>
      </w:r>
      <w:r>
        <w:rPr>
          <w:color w:val="auto"/>
          <w:szCs w:val="28"/>
        </w:rPr>
        <w:t>ы</w:t>
      </w:r>
      <w:r w:rsidR="00122EAF">
        <w:rPr>
          <w:color w:val="auto"/>
          <w:szCs w:val="28"/>
        </w:rPr>
        <w:t>е</w:t>
      </w:r>
      <w:r>
        <w:rPr>
          <w:color w:val="auto"/>
          <w:szCs w:val="28"/>
        </w:rPr>
        <w:t xml:space="preserve"> «Нормативы допустимого воздействия на водные объекты бассейна реки Енисей» (далее – НДВ) утверждены Федеральным агентством водных ресурсов 29.04.2013.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4E605B" w:rsidP="00EF1CAB">
      <w:pPr>
        <w:spacing w:line="360" w:lineRule="auto"/>
        <w:ind w:firstLine="720"/>
        <w:rPr>
          <w:color w:val="auto"/>
          <w:szCs w:val="28"/>
        </w:rPr>
      </w:pPr>
      <w:r w:rsidRPr="00BB1945">
        <w:rPr>
          <w:color w:val="auto"/>
          <w:szCs w:val="28"/>
        </w:rPr>
        <w:t xml:space="preserve">Основные определения, использованные </w:t>
      </w:r>
      <w:r>
        <w:rPr>
          <w:color w:val="auto"/>
          <w:szCs w:val="28"/>
        </w:rPr>
        <w:t>при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расчете</w:t>
      </w:r>
      <w:r w:rsidRPr="00BB1945">
        <w:rPr>
          <w:color w:val="auto"/>
          <w:szCs w:val="28"/>
        </w:rPr>
        <w:t xml:space="preserve"> лимитов и квот</w:t>
      </w:r>
      <w:r>
        <w:rPr>
          <w:color w:val="auto"/>
          <w:szCs w:val="28"/>
        </w:rPr>
        <w:t>,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приняты</w:t>
      </w:r>
      <w:r w:rsidRPr="00BB1945">
        <w:rPr>
          <w:color w:val="auto"/>
          <w:szCs w:val="28"/>
        </w:rPr>
        <w:t xml:space="preserve"> </w:t>
      </w:r>
      <w:r w:rsidR="00122EAF">
        <w:rPr>
          <w:color w:val="auto"/>
          <w:szCs w:val="28"/>
        </w:rPr>
        <w:t>в соответствии с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П</w:t>
      </w:r>
      <w:r w:rsidRPr="00BB1945">
        <w:rPr>
          <w:color w:val="auto"/>
        </w:rPr>
        <w:t>остановлени</w:t>
      </w:r>
      <w:r w:rsidR="00122EAF">
        <w:rPr>
          <w:color w:val="auto"/>
        </w:rPr>
        <w:t>ем</w:t>
      </w:r>
      <w:r w:rsidRPr="00BB1945">
        <w:rPr>
          <w:color w:val="auto"/>
        </w:rPr>
        <w:t xml:space="preserve"> Правительства РФ от 30.12.2006 № 883 «О порядке разработки, утверждения и реализации схем комплексного использования и охраны водных объектов, внесения изменений в эти схемы»</w:t>
      </w:r>
      <w:r w:rsidRPr="00BB1945">
        <w:rPr>
          <w:color w:val="auto"/>
          <w:szCs w:val="28"/>
        </w:rPr>
        <w:t>.</w:t>
      </w:r>
    </w:p>
    <w:p w:rsidR="00247C47" w:rsidRPr="00B125B7" w:rsidP="00FA19F9">
      <w:pPr>
        <w:spacing w:line="312" w:lineRule="auto"/>
        <w:ind w:firstLine="709"/>
        <w:rPr>
          <w:color w:val="000000" w:themeColor="text1"/>
        </w:rPr>
      </w:pPr>
      <w:r w:rsidRPr="003B3174">
        <w:rPr>
          <w:color w:val="auto"/>
        </w:rPr>
        <w:br w:type="page"/>
      </w:r>
    </w:p>
    <w:p w:rsidR="00071A15" w:rsidRPr="00071A15" w:rsidP="00871CDB">
      <w:pPr>
        <w:pStyle w:val="Heading1"/>
        <w:pageBreakBefore w:val="0"/>
        <w:tabs>
          <w:tab w:val="left" w:pos="-2977"/>
        </w:tabs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3" w:name="_Toc386539206"/>
      <w:r>
        <w:rPr>
          <w:rFonts w:ascii="Times New Roman" w:hAnsi="Times New Roman"/>
          <w:sz w:val="28"/>
          <w:szCs w:val="28"/>
        </w:rPr>
        <w:t>1</w:t>
      </w:r>
      <w:r w:rsidR="002B40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Расчет лимитов на забор</w:t>
      </w:r>
      <w:r w:rsidRPr="00071A15">
        <w:rPr>
          <w:rFonts w:ascii="Times New Roman" w:hAnsi="Times New Roman"/>
          <w:sz w:val="28"/>
          <w:szCs w:val="28"/>
        </w:rPr>
        <w:t xml:space="preserve"> водных ресурсов и сброс сточных вод в водные объекты </w:t>
      </w:r>
      <w:r w:rsidR="00871CDB">
        <w:rPr>
          <w:rFonts w:ascii="Times New Roman" w:hAnsi="Times New Roman"/>
          <w:sz w:val="28"/>
          <w:szCs w:val="28"/>
        </w:rPr>
        <w:t xml:space="preserve">речного </w:t>
      </w:r>
      <w:r w:rsidRPr="00071A15">
        <w:rPr>
          <w:rFonts w:ascii="Times New Roman" w:hAnsi="Times New Roman"/>
          <w:sz w:val="28"/>
          <w:szCs w:val="28"/>
        </w:rPr>
        <w:t>бассейна</w:t>
      </w:r>
      <w:bookmarkEnd w:id="3"/>
      <w:r w:rsidRPr="00071A15">
        <w:rPr>
          <w:rFonts w:ascii="Times New Roman" w:hAnsi="Times New Roman"/>
          <w:sz w:val="28"/>
          <w:szCs w:val="28"/>
        </w:rPr>
        <w:t xml:space="preserve"> </w:t>
      </w:r>
    </w:p>
    <w:p w:rsidR="0012216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945">
        <w:rPr>
          <w:rFonts w:ascii="Times New Roman" w:hAnsi="Times New Roman" w:cs="Times New Roman"/>
          <w:bCs/>
          <w:sz w:val="28"/>
          <w:szCs w:val="28"/>
        </w:rPr>
        <w:t xml:space="preserve">Методических </w:t>
      </w:r>
      <w:r w:rsidRPr="00BB1945">
        <w:rPr>
          <w:rFonts w:ascii="Times New Roman" w:hAnsi="Times New Roman" w:cs="Times New Roman"/>
          <w:sz w:val="28"/>
          <w:szCs w:val="28"/>
        </w:rPr>
        <w:t xml:space="preserve">рекомендаций по расчету лимитов забора водных ресурсов и лимитов сброса сточных вод, квот забора водных ресурсов и сброса сточных вод, утвержденных Министерством природных ресурсов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нет. </w:t>
      </w:r>
      <w:r w:rsidRPr="00BB1945">
        <w:rPr>
          <w:rFonts w:ascii="Times New Roman" w:hAnsi="Times New Roman" w:cs="Times New Roman"/>
          <w:bCs/>
          <w:sz w:val="28"/>
          <w:szCs w:val="28"/>
        </w:rPr>
        <w:t xml:space="preserve">Методические </w:t>
      </w:r>
      <w:r w:rsidRPr="00BB1945">
        <w:rPr>
          <w:rFonts w:ascii="Times New Roman" w:hAnsi="Times New Roman" w:cs="Times New Roman"/>
          <w:sz w:val="28"/>
          <w:szCs w:val="28"/>
        </w:rPr>
        <w:t>рекомендации по расчету лимитов забора водных ресурсов и лимитов сброса сточных вод, квот забора водных ресурсов и сброса сточных вод, разработанные ГОУ ВПО Московский государственный университет геодезии и картографии и ФГУП «</w:t>
      </w:r>
      <w:r>
        <w:rPr>
          <w:rFonts w:ascii="Times New Roman" w:hAnsi="Times New Roman" w:cs="Times New Roman"/>
          <w:sz w:val="28"/>
          <w:szCs w:val="28"/>
        </w:rPr>
        <w:t>РосНИИВХ</w:t>
      </w:r>
      <w:r w:rsidRPr="00BB1945">
        <w:rPr>
          <w:rFonts w:ascii="Times New Roman" w:hAnsi="Times New Roman" w:cs="Times New Roman"/>
          <w:sz w:val="28"/>
          <w:szCs w:val="28"/>
        </w:rPr>
        <w:t>» в 2007 г.</w:t>
      </w:r>
      <w:r w:rsidR="00871C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применимы для условий дефицитного водохозяйственного комплекса европейской части России, не учитывают специфику использования водных ресурсов в бассейнах многоводных</w:t>
      </w:r>
      <w:r w:rsidRPr="00EF1262">
        <w:rPr>
          <w:rFonts w:ascii="Times New Roman" w:hAnsi="Times New Roman" w:cs="Times New Roman"/>
          <w:sz w:val="28"/>
          <w:szCs w:val="28"/>
        </w:rPr>
        <w:t xml:space="preserve"> </w:t>
      </w:r>
      <w:r w:rsidR="00B125B7">
        <w:rPr>
          <w:rFonts w:ascii="Times New Roman" w:hAnsi="Times New Roman" w:cs="Times New Roman"/>
          <w:sz w:val="28"/>
          <w:szCs w:val="28"/>
        </w:rPr>
        <w:t>сибирских</w:t>
      </w:r>
      <w:r>
        <w:rPr>
          <w:rFonts w:ascii="Times New Roman" w:hAnsi="Times New Roman" w:cs="Times New Roman"/>
          <w:sz w:val="28"/>
          <w:szCs w:val="28"/>
        </w:rPr>
        <w:t xml:space="preserve"> рек и</w:t>
      </w:r>
      <w:r w:rsidR="00871C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871CDB">
        <w:rPr>
          <w:rFonts w:ascii="Times New Roman" w:hAnsi="Times New Roman" w:cs="Times New Roman"/>
          <w:sz w:val="28"/>
          <w:szCs w:val="28"/>
        </w:rPr>
        <w:t>настоящего времени</w:t>
      </w:r>
      <w:r w:rsidR="00871C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утверждены.</w:t>
      </w:r>
    </w:p>
    <w:p w:rsidR="00122166" w:rsidRPr="00261ADC" w:rsidP="00430C58">
      <w:pPr>
        <w:tabs>
          <w:tab w:val="left" w:pos="0"/>
        </w:tabs>
        <w:spacing w:line="360" w:lineRule="auto"/>
        <w:ind w:firstLine="709"/>
        <w:rPr>
          <w:color w:val="auto"/>
        </w:rPr>
      </w:pPr>
      <w:r>
        <w:rPr>
          <w:color w:val="auto"/>
        </w:rPr>
        <w:t>Показательными</w:t>
      </w:r>
      <w:r w:rsidRPr="00122166">
        <w:rPr>
          <w:color w:val="auto"/>
        </w:rPr>
        <w:t xml:space="preserve"> для расчета </w:t>
      </w:r>
      <w:r>
        <w:rPr>
          <w:color w:val="auto"/>
        </w:rPr>
        <w:t>лимитов</w:t>
      </w:r>
      <w:r w:rsidRPr="00122166">
        <w:rPr>
          <w:color w:val="auto"/>
        </w:rPr>
        <w:t xml:space="preserve"> служат ВХБ по ВХУ для года </w:t>
      </w:r>
      <w:r w:rsidR="008F7FFB">
        <w:rPr>
          <w:color w:val="auto"/>
        </w:rPr>
        <w:t>95% обеспеченности</w:t>
      </w:r>
      <w:r w:rsidRPr="00E44994">
        <w:rPr>
          <w:color w:val="auto"/>
        </w:rPr>
        <w:t xml:space="preserve">. Для расчетов лимитов используют как </w:t>
      </w:r>
      <w:r w:rsidRPr="00E44994">
        <w:rPr>
          <w:color w:val="auto"/>
        </w:rPr>
        <w:t>современные</w:t>
      </w:r>
      <w:r w:rsidRPr="00E44994">
        <w:rPr>
          <w:color w:val="auto"/>
        </w:rPr>
        <w:t xml:space="preserve"> так и перспективные ВХБ, рассчитанные для прогнозных объемов водопотребления и водоотведения</w:t>
      </w:r>
      <w:r w:rsidR="008F7FFB">
        <w:rPr>
          <w:color w:val="auto"/>
        </w:rPr>
        <w:t xml:space="preserve"> (книга 4)</w:t>
      </w:r>
      <w:r w:rsidRPr="00E44994">
        <w:rPr>
          <w:color w:val="auto"/>
        </w:rPr>
        <w:t xml:space="preserve">. </w:t>
      </w:r>
    </w:p>
    <w:p w:rsidR="00071A15" w:rsidRPr="00F23578" w:rsidP="00550FDF">
      <w:pPr>
        <w:pStyle w:val="Heading1"/>
        <w:pageBreakBefore w:val="0"/>
        <w:tabs>
          <w:tab w:val="left" w:pos="-2977"/>
        </w:tabs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4" w:name="_Toc386539207"/>
      <w:r>
        <w:rPr>
          <w:rFonts w:ascii="Times New Roman" w:hAnsi="Times New Roman"/>
          <w:sz w:val="28"/>
          <w:szCs w:val="28"/>
        </w:rPr>
        <w:t>2</w:t>
      </w:r>
      <w:r w:rsidR="002B40C2">
        <w:rPr>
          <w:rFonts w:ascii="Times New Roman" w:hAnsi="Times New Roman"/>
          <w:sz w:val="28"/>
          <w:szCs w:val="28"/>
        </w:rPr>
        <w:t xml:space="preserve"> </w:t>
      </w:r>
      <w:r w:rsidRPr="00F23578">
        <w:rPr>
          <w:rFonts w:ascii="Times New Roman" w:hAnsi="Times New Roman"/>
          <w:sz w:val="28"/>
          <w:szCs w:val="28"/>
        </w:rPr>
        <w:t xml:space="preserve">Установление квот забора (изъятия) водных ресурсов и сброса сточных вод в разрезе водохозяйственных участков, </w:t>
      </w:r>
      <w:r w:rsidRPr="00F23578">
        <w:rPr>
          <w:rFonts w:ascii="Times New Roman" w:hAnsi="Times New Roman"/>
          <w:sz w:val="28"/>
          <w:szCs w:val="28"/>
        </w:rPr>
        <w:t>подбассейнов</w:t>
      </w:r>
      <w:r w:rsidRPr="00F23578">
        <w:rPr>
          <w:rFonts w:ascii="Times New Roman" w:hAnsi="Times New Roman"/>
          <w:sz w:val="28"/>
          <w:szCs w:val="28"/>
        </w:rPr>
        <w:t xml:space="preserve"> и частей бассейнов в пределах субъектов РФ</w:t>
      </w:r>
      <w:bookmarkEnd w:id="4"/>
    </w:p>
    <w:p w:rsidR="00122166" w:rsidRPr="00F14622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 xml:space="preserve">Для определения квот забора (изъятия) водных ресурсов и сброса сточных вод в разрезе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 xml:space="preserve">, </w:t>
      </w:r>
      <w:r w:rsidRPr="00F14622">
        <w:rPr>
          <w:rFonts w:ascii="Times New Roman" w:hAnsi="Times New Roman" w:cs="Times New Roman"/>
          <w:sz w:val="28"/>
          <w:szCs w:val="24"/>
        </w:rPr>
        <w:t>подбассейнов</w:t>
      </w:r>
      <w:r w:rsidRPr="00F14622">
        <w:rPr>
          <w:rFonts w:ascii="Times New Roman" w:hAnsi="Times New Roman" w:cs="Times New Roman"/>
          <w:sz w:val="28"/>
          <w:szCs w:val="24"/>
        </w:rPr>
        <w:t xml:space="preserve"> и частей бассейнов в пределах субъектов РФ определяются</w:t>
      </w:r>
      <w:r w:rsidR="000F0319">
        <w:rPr>
          <w:rFonts w:ascii="Times New Roman" w:hAnsi="Times New Roman" w:cs="Times New Roman"/>
          <w:sz w:val="28"/>
          <w:szCs w:val="24"/>
        </w:rPr>
        <w:t>:</w:t>
      </w:r>
      <w:r w:rsidRPr="00F14622">
        <w:rPr>
          <w:rFonts w:ascii="Times New Roman" w:hAnsi="Times New Roman" w:cs="Times New Roman"/>
          <w:sz w:val="28"/>
          <w:szCs w:val="24"/>
        </w:rPr>
        <w:t xml:space="preserve"> перечень, границы, взаимное расположение территориальных единиц, на которые выделяются квоты, а также гидрологические и социально-экономические условия в пределах этих территориальных единиц.</w:t>
      </w:r>
    </w:p>
    <w:p w:rsidR="00122166" w:rsidRPr="00F14622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>Основным источником данных при расчете квот забора (изъятия) водных ресурсов и сброса сточных вод в пределах выделенных территориальных единиц являются лимиты забора (изъятия) водных ресурсов и сброса сточных вод для бассейна (</w:t>
      </w:r>
      <w:r w:rsidRPr="00F14622">
        <w:rPr>
          <w:rFonts w:ascii="Times New Roman" w:hAnsi="Times New Roman" w:cs="Times New Roman"/>
          <w:sz w:val="28"/>
          <w:szCs w:val="24"/>
        </w:rPr>
        <w:t>подбассейна</w:t>
      </w:r>
      <w:r w:rsidRPr="00F14622">
        <w:rPr>
          <w:rFonts w:ascii="Times New Roman" w:hAnsi="Times New Roman" w:cs="Times New Roman"/>
          <w:sz w:val="28"/>
          <w:szCs w:val="24"/>
        </w:rPr>
        <w:t xml:space="preserve">) и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>.</w:t>
      </w:r>
    </w:p>
    <w:p w:rsidR="0012216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 xml:space="preserve">Для каждого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 xml:space="preserve"> определяется перечень субъектов РФ или их участков, расположенных на его территории. Сумма квот забора (изъятия) водных ресурсов и сброса сточных вод, выделяемых к</w:t>
      </w:r>
      <w:r>
        <w:rPr>
          <w:rFonts w:ascii="Times New Roman" w:hAnsi="Times New Roman" w:cs="Times New Roman"/>
          <w:sz w:val="28"/>
          <w:szCs w:val="24"/>
        </w:rPr>
        <w:t xml:space="preserve">аждой территориальной единице, </w:t>
      </w:r>
      <w:r w:rsidRPr="00F14622">
        <w:rPr>
          <w:rFonts w:ascii="Times New Roman" w:hAnsi="Times New Roman" w:cs="Times New Roman"/>
          <w:sz w:val="28"/>
          <w:szCs w:val="24"/>
        </w:rPr>
        <w:t xml:space="preserve">не должна превышать размер лимита забора (изъятия) водных ресурсов и сброса сточных вод для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>.</w:t>
      </w:r>
    </w:p>
    <w:p w:rsidR="0012216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Бассейн р. Енисей расположен в границах Красноярского края, </w:t>
      </w:r>
      <w:r>
        <w:rPr>
          <w:szCs w:val="28"/>
        </w:rPr>
        <w:t xml:space="preserve"> </w:t>
      </w:r>
      <w:r w:rsidRPr="003A60F1">
        <w:rPr>
          <w:rFonts w:ascii="Times New Roman" w:hAnsi="Times New Roman" w:cs="Times New Roman"/>
          <w:sz w:val="28"/>
          <w:szCs w:val="28"/>
        </w:rPr>
        <w:t xml:space="preserve">Республики Хакасии, Республики Тыва, Иркутской области, </w:t>
      </w:r>
      <w:r>
        <w:rPr>
          <w:rFonts w:ascii="Times New Roman" w:hAnsi="Times New Roman" w:cs="Times New Roman"/>
          <w:sz w:val="28"/>
          <w:szCs w:val="24"/>
        </w:rPr>
        <w:t>следовательно, квота сброса сточных вод будет определяться по формуле:</w:t>
      </w:r>
    </w:p>
    <w:p w:rsidR="00122166" w:rsidRPr="00122166" w:rsidP="00EE222D">
      <w:pPr>
        <w:pStyle w:val="ConsNormal"/>
        <w:spacing w:before="240" w:after="240" w:line="360" w:lineRule="auto"/>
        <w:ind w:firstLine="0"/>
        <w:jc w:val="both"/>
        <w:rPr>
          <w:oMath/>
          <w:rFonts w:ascii="Cambria Math" w:hAnsiTheme="majorHAnsi" w:cs="Times New Roman"/>
          <w:sz w:val="28"/>
          <w:szCs w:val="24"/>
        </w:rPr>
      </w:pPr>
      <m:oMath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Кв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  <w:vertAlign w:val="subscript"/>
          </w:rPr>
          <m:t>.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  <w:vertAlign w:val="subscript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…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сбр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сбр</m:t>
            </m:r>
          </m:sub>
        </m:sSub>
      </m:oMath>
      <w:r w:rsidR="00E44994">
        <w:rPr>
          <w:rFonts w:ascii="Times New Roman" w:hAnsi="Times New Roman" w:cs="Times New Roman"/>
          <w:sz w:val="28"/>
          <w:szCs w:val="24"/>
        </w:rPr>
        <w:tab/>
        <w:t xml:space="preserve"> </w:t>
      </w:r>
      <w:r w:rsidR="00EE222D">
        <w:rPr>
          <w:rFonts w:ascii="Times New Roman" w:hAnsi="Times New Roman" w:cs="Times New Roman"/>
          <w:sz w:val="28"/>
          <w:szCs w:val="24"/>
        </w:rPr>
        <w:t xml:space="preserve">      </w:t>
      </w:r>
      <w:r w:rsidR="00E44994">
        <w:rPr>
          <w:rFonts w:ascii="Times New Roman" w:hAnsi="Times New Roman" w:cs="Times New Roman"/>
          <w:sz w:val="28"/>
          <w:szCs w:val="24"/>
        </w:rPr>
        <w:t>(1)</w:t>
      </w:r>
    </w:p>
    <w:p w:rsidR="00122166" w:rsidRPr="000237B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где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73663">
        <w:rPr>
          <w:rFonts w:ascii="Times New Roman" w:hAnsi="Times New Roman" w:cs="Times New Roman"/>
          <w:sz w:val="28"/>
          <w:szCs w:val="24"/>
        </w:rPr>
        <w:t>Л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 xml:space="preserve"> 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.</w:t>
      </w:r>
      <w:r w:rsidRPr="000237B6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Pr="000237B6">
        <w:rPr>
          <w:rFonts w:ascii="Times New Roman" w:hAnsi="Times New Roman" w:cs="Times New Roman"/>
          <w:sz w:val="28"/>
          <w:szCs w:val="24"/>
        </w:rPr>
        <w:t>величина лимита сброса сточных вод;</w:t>
      </w:r>
    </w:p>
    <w:p w:rsidR="00122166" w:rsidRPr="000237B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73663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сбр.</w:t>
      </w:r>
      <w:r w:rsidRPr="000237B6">
        <w:rPr>
          <w:rFonts w:ascii="Times New Roman" w:hAnsi="Times New Roman" w:cs="Times New Roman"/>
          <w:sz w:val="28"/>
          <w:szCs w:val="24"/>
        </w:rPr>
        <w:t xml:space="preserve"> – доля соответствующей квоты в общей вели</w:t>
      </w:r>
      <w:r>
        <w:rPr>
          <w:rFonts w:ascii="Times New Roman" w:hAnsi="Times New Roman" w:cs="Times New Roman"/>
          <w:sz w:val="28"/>
          <w:szCs w:val="24"/>
        </w:rPr>
        <w:t xml:space="preserve">чине лимита сброса сточных вод </w:t>
      </w:r>
      <w:r w:rsidRPr="000237B6">
        <w:rPr>
          <w:rFonts w:ascii="Times New Roman" w:hAnsi="Times New Roman" w:cs="Times New Roman"/>
          <w:sz w:val="28"/>
          <w:szCs w:val="24"/>
        </w:rPr>
        <w:t xml:space="preserve">(теоретически может находиться в интервале от 0 до 1), </w:t>
      </w:r>
      <w:r w:rsidRPr="00D73663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сбр.</w:t>
      </w:r>
      <w:r w:rsidRPr="000237B6">
        <w:rPr>
          <w:rFonts w:ascii="Times New Roman" w:hAnsi="Times New Roman" w:cs="Times New Roman"/>
          <w:b/>
          <w:sz w:val="28"/>
          <w:szCs w:val="24"/>
          <w:vertAlign w:val="subscript"/>
        </w:rPr>
        <w:t xml:space="preserve">   </w:t>
      </w:r>
      <w:r w:rsidRPr="000237B6">
        <w:rPr>
          <w:rFonts w:ascii="Times New Roman" w:hAnsi="Times New Roman" w:cs="Times New Roman"/>
          <w:sz w:val="28"/>
          <w:szCs w:val="24"/>
        </w:rPr>
        <w:t xml:space="preserve"> для каждого субъекта РФ в пределах речного бассейна, </w:t>
      </w:r>
      <w:r w:rsidRPr="000237B6">
        <w:rPr>
          <w:rFonts w:ascii="Times New Roman" w:hAnsi="Times New Roman" w:cs="Times New Roman"/>
          <w:sz w:val="28"/>
          <w:szCs w:val="24"/>
        </w:rPr>
        <w:t>подбассейна</w:t>
      </w:r>
      <w:r w:rsidRPr="000237B6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0237B6">
        <w:rPr>
          <w:rFonts w:ascii="Times New Roman" w:hAnsi="Times New Roman" w:cs="Times New Roman"/>
          <w:sz w:val="28"/>
          <w:szCs w:val="24"/>
        </w:rPr>
        <w:t xml:space="preserve"> определяется из пропорции потребностей субъектов РФ в отведении сточных вод; </w:t>
      </w:r>
    </w:p>
    <w:p w:rsidR="0012216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A60F1">
        <w:rPr>
          <w:rFonts w:ascii="Times New Roman" w:hAnsi="Times New Roman" w:cs="Times New Roman"/>
          <w:sz w:val="28"/>
        </w:rPr>
        <w:t>θ</w:t>
      </w:r>
      <w:r w:rsidRPr="003A60F1">
        <w:rPr>
          <w:rFonts w:ascii="Times New Roman" w:hAnsi="Times New Roman" w:cs="Times New Roman"/>
          <w:sz w:val="28"/>
          <w:vertAlign w:val="subscript"/>
          <w:lang w:val="en-US"/>
        </w:rPr>
        <w:t>H</w:t>
      </w:r>
      <w:r w:rsidRPr="003A60F1">
        <w:rPr>
          <w:rFonts w:ascii="Times New Roman" w:hAnsi="Times New Roman" w:cs="Times New Roman"/>
          <w:sz w:val="28"/>
          <w:vertAlign w:val="subscript"/>
        </w:rPr>
        <w:t xml:space="preserve">1     </w:t>
      </w:r>
      <w:r w:rsidRPr="003A60F1">
        <w:rPr>
          <w:rFonts w:ascii="Times New Roman" w:hAnsi="Times New Roman" w:cs="Times New Roman"/>
          <w:sz w:val="28"/>
        </w:rPr>
        <w:t>….θ</w:t>
      </w:r>
      <w:r w:rsidRPr="003A60F1">
        <w:rPr>
          <w:rFonts w:ascii="Times New Roman" w:hAnsi="Times New Roman" w:cs="Times New Roman"/>
          <w:sz w:val="28"/>
          <w:vertAlign w:val="subscript"/>
          <w:lang w:val="en-US"/>
        </w:rPr>
        <w:t>Hn</w:t>
      </w:r>
      <w:r w:rsidRPr="003A60F1">
        <w:rPr>
          <w:rFonts w:ascii="Times New Roman" w:hAnsi="Times New Roman" w:cs="Times New Roman"/>
          <w:sz w:val="28"/>
        </w:rPr>
        <w:t xml:space="preserve"> – доли общего объема квоты сброса сточных вод, отводимых в водные объекты после использования на различные нужды (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Нi</m:t>
                </m:r>
              </m:sub>
            </m:sSub>
          </m:e>
        </m:nary>
        <m:r>
          <w:rPr>
            <w:rFonts w:ascii="Cambria Math" w:hAnsi="Cambria Math" w:cs="Times New Roman"/>
            <w:sz w:val="28"/>
          </w:rPr>
          <m:t>≤1</m:t>
        </m:r>
      </m:oMath>
      <w:r w:rsidRPr="003A60F1">
        <w:rPr>
          <w:rFonts w:ascii="Times New Roman" w:hAnsi="Times New Roman" w:cs="Times New Roman"/>
          <w:sz w:val="28"/>
        </w:rPr>
        <w:t xml:space="preserve">). Эти доли определяются </w:t>
      </w:r>
      <w:r w:rsidRPr="003A60F1">
        <w:rPr>
          <w:rFonts w:ascii="Times New Roman" w:hAnsi="Times New Roman" w:cs="Times New Roman"/>
          <w:sz w:val="28"/>
        </w:rPr>
        <w:t>в зависимости от приоритетности различных видов водопользования с учетом заявленных потребностей в водоотведении для различных видов</w:t>
      </w:r>
      <w:r w:rsidRPr="003A60F1">
        <w:rPr>
          <w:rFonts w:ascii="Times New Roman" w:hAnsi="Times New Roman" w:cs="Times New Roman"/>
          <w:sz w:val="28"/>
        </w:rPr>
        <w:t xml:space="preserve"> водопользования или фактических объемов водоотведения предприятиями различных отраслей промышленности.</w:t>
      </w:r>
    </w:p>
    <w:p w:rsidR="00122166" w:rsidRPr="001A75CD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Квоты забора (изъятия) водных ресурсов рассчитываются по аналогичной формуле:</w:t>
      </w:r>
    </w:p>
    <w:p w:rsidR="00122166" w:rsidRPr="00E44994" w:rsidP="00EE222D">
      <w:pPr>
        <w:pStyle w:val="ConsNormal"/>
        <w:spacing w:before="240" w:after="240" w:line="360" w:lineRule="auto"/>
        <w:ind w:firstLine="142"/>
        <w:jc w:val="both"/>
        <w:rPr>
          <w:oMath/>
          <w:rFonts w:ascii="Cambria Math" w:hAnsiTheme="majorHAnsi" w:cs="Times New Roman"/>
          <w:sz w:val="28"/>
          <w:szCs w:val="24"/>
        </w:rPr>
      </w:pPr>
      <m:oMath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Кв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  <w:vertAlign w:val="subscript"/>
          </w:rPr>
          <m:t>.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  <w:vertAlign w:val="subscript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…</m:t>
        </m:r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+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Н</m:t>
            </m:r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6"/>
                <w:szCs w:val="26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заб</m:t>
            </m:r>
          </m:sub>
        </m:sSub>
        <m:r>
          <m:rPr>
            <m:sty m:val="p"/>
          </m:rPr>
          <w:rPr>
            <w:rFonts w:ascii="Cambria Math" w:hAnsiTheme="majorHAnsi" w:cs="Times New Roman"/>
            <w:sz w:val="26"/>
            <w:szCs w:val="26"/>
          </w:rPr>
          <m:t>∙</m:t>
        </m:r>
        <m:sSub>
          <m:sSubPr>
            <m:ctrlPr>
              <w:rPr>
                <w:rFonts w:ascii="Cambria Math" w:hAnsiTheme="majorHAnsi" w:cs="Times New Roman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</w:rPr>
              <m:t>Л</m:t>
            </m:r>
          </m:e>
          <m:sub>
            <m:r>
              <m:rPr>
                <m:sty m:val="p"/>
              </m:rPr>
              <w:rPr>
                <w:rFonts w:ascii="Cambria Math" w:hAnsiTheme="majorHAnsi" w:cs="Times New Roman"/>
                <w:sz w:val="26"/>
                <w:szCs w:val="26"/>
                <w:vertAlign w:val="subscript"/>
              </w:rPr>
              <m:t>заб</m:t>
            </m:r>
          </m:sub>
        </m:sSub>
      </m:oMath>
      <w:r w:rsidR="00E44994">
        <w:rPr>
          <w:rFonts w:ascii="Times New Roman" w:hAnsi="Times New Roman" w:cs="Times New Roman"/>
          <w:sz w:val="28"/>
          <w:szCs w:val="24"/>
        </w:rPr>
        <w:tab/>
      </w:r>
      <w:r w:rsidR="00EE222D">
        <w:rPr>
          <w:rFonts w:ascii="Times New Roman" w:hAnsi="Times New Roman" w:cs="Times New Roman"/>
          <w:sz w:val="28"/>
          <w:szCs w:val="24"/>
        </w:rPr>
        <w:t xml:space="preserve">       </w:t>
      </w:r>
      <w:r w:rsidR="00E44994">
        <w:rPr>
          <w:rFonts w:ascii="Times New Roman" w:hAnsi="Times New Roman" w:cs="Times New Roman"/>
          <w:sz w:val="28"/>
          <w:szCs w:val="24"/>
        </w:rPr>
        <w:t>(2)</w:t>
      </w:r>
    </w:p>
    <w:p w:rsidR="00122166" w:rsidRPr="000237B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где</w:t>
      </w:r>
      <w:r w:rsidRPr="000237B6">
        <w:rPr>
          <w:rFonts w:ascii="Times New Roman" w:hAnsi="Times New Roman" w:cs="Times New Roman"/>
          <w:sz w:val="28"/>
          <w:szCs w:val="24"/>
        </w:rPr>
        <w:t xml:space="preserve"> </w:t>
      </w:r>
      <w:r w:rsidRPr="00D73663">
        <w:rPr>
          <w:rFonts w:ascii="Times New Roman" w:hAnsi="Times New Roman" w:cs="Times New Roman"/>
          <w:sz w:val="28"/>
          <w:szCs w:val="24"/>
        </w:rPr>
        <w:t>Л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</w:t>
      </w:r>
      <w:r w:rsidRPr="00D73663">
        <w:rPr>
          <w:rFonts w:ascii="Times New Roman" w:hAnsi="Times New Roman" w:cs="Times New Roman"/>
          <w:sz w:val="28"/>
          <w:szCs w:val="24"/>
        </w:rPr>
        <w:t xml:space="preserve"> </w:t>
      </w:r>
      <w:r w:rsidRPr="000237B6">
        <w:rPr>
          <w:rFonts w:ascii="Times New Roman" w:hAnsi="Times New Roman" w:cs="Times New Roman"/>
          <w:b/>
          <w:sz w:val="28"/>
          <w:szCs w:val="24"/>
        </w:rPr>
        <w:t xml:space="preserve">– </w:t>
      </w:r>
      <w:r w:rsidRPr="000237B6">
        <w:rPr>
          <w:rFonts w:ascii="Times New Roman" w:hAnsi="Times New Roman" w:cs="Times New Roman"/>
          <w:sz w:val="28"/>
          <w:szCs w:val="24"/>
        </w:rPr>
        <w:t>величина лимита забора (изъятия) водных ресурсов;</w:t>
      </w:r>
    </w:p>
    <w:p w:rsidR="00122166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</w:t>
      </w:r>
      <w:r w:rsidRPr="000237B6">
        <w:rPr>
          <w:rFonts w:ascii="Times New Roman" w:hAnsi="Times New Roman" w:cs="Times New Roman"/>
          <w:sz w:val="28"/>
          <w:szCs w:val="24"/>
        </w:rPr>
        <w:t xml:space="preserve"> – доля соответствующей квоты в общей величине лимита забора (изъятия) водных ресурсов (теоретически может находиться в интервале от 0 до 1), 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заб.</w:t>
      </w:r>
      <w:r w:rsidRPr="000237B6">
        <w:rPr>
          <w:rFonts w:ascii="Times New Roman" w:hAnsi="Times New Roman" w:cs="Times New Roman"/>
          <w:sz w:val="28"/>
          <w:szCs w:val="24"/>
        </w:rPr>
        <w:t xml:space="preserve"> для каждого субъекта РФ в пределах речного бассейна, </w:t>
      </w:r>
      <w:r w:rsidRPr="000237B6">
        <w:rPr>
          <w:rFonts w:ascii="Times New Roman" w:hAnsi="Times New Roman" w:cs="Times New Roman"/>
          <w:sz w:val="28"/>
          <w:szCs w:val="24"/>
        </w:rPr>
        <w:t>подбассейна</w:t>
      </w:r>
      <w:r w:rsidRPr="000237B6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4"/>
        </w:rPr>
        <w:t>ВХУ</w:t>
      </w:r>
      <w:r w:rsidRPr="000237B6">
        <w:rPr>
          <w:rFonts w:ascii="Times New Roman" w:hAnsi="Times New Roman" w:cs="Times New Roman"/>
          <w:sz w:val="28"/>
          <w:szCs w:val="24"/>
        </w:rPr>
        <w:t xml:space="preserve"> определяется из пропорции потребностей субъектов РФ в заборе (изъятии) водных ресурсов</w:t>
      </w:r>
      <w:r w:rsidR="000F0319">
        <w:rPr>
          <w:rFonts w:ascii="Times New Roman" w:hAnsi="Times New Roman" w:cs="Times New Roman"/>
          <w:sz w:val="28"/>
          <w:szCs w:val="24"/>
        </w:rPr>
        <w:t>;</w:t>
      </w:r>
    </w:p>
    <w:p w:rsidR="00122166" w:rsidRPr="003C0419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19">
        <w:rPr>
          <w:rFonts w:ascii="Times New Roman" w:hAnsi="Times New Roman" w:cs="Times New Roman"/>
          <w:sz w:val="28"/>
          <w:szCs w:val="28"/>
        </w:rPr>
        <w:t>δ</w:t>
      </w:r>
      <w:r w:rsidRPr="003C041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H</w:t>
      </w:r>
      <w:r w:rsidRPr="003C0419">
        <w:rPr>
          <w:rFonts w:ascii="Times New Roman" w:hAnsi="Times New Roman" w:cs="Times New Roman"/>
          <w:sz w:val="28"/>
          <w:szCs w:val="28"/>
          <w:vertAlign w:val="subscript"/>
        </w:rPr>
        <w:t xml:space="preserve">1     </w:t>
      </w:r>
      <w:r w:rsidRPr="003C0419">
        <w:rPr>
          <w:rFonts w:ascii="Times New Roman" w:hAnsi="Times New Roman" w:cs="Times New Roman"/>
          <w:sz w:val="28"/>
          <w:szCs w:val="28"/>
        </w:rPr>
        <w:t>….δ</w:t>
      </w:r>
      <w:r w:rsidRPr="003C041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Hn</w:t>
      </w:r>
      <w:r w:rsidRPr="003C0419">
        <w:rPr>
          <w:rFonts w:ascii="Times New Roman" w:hAnsi="Times New Roman" w:cs="Times New Roman"/>
          <w:sz w:val="28"/>
          <w:szCs w:val="28"/>
        </w:rPr>
        <w:t xml:space="preserve"> – доли общего объема квоты забора (изъятия) водных ресурсов, распределяемые на различные нужды водопользования (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δ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≤1</m:t>
        </m:r>
      </m:oMath>
      <w:r w:rsidRPr="003C0419">
        <w:rPr>
          <w:rFonts w:ascii="Times New Roman" w:hAnsi="Times New Roman" w:cs="Times New Roman"/>
          <w:sz w:val="28"/>
          <w:szCs w:val="28"/>
        </w:rPr>
        <w:t xml:space="preserve">). Эти доли определяются </w:t>
      </w:r>
      <w:r w:rsidRPr="003C0419">
        <w:rPr>
          <w:rFonts w:ascii="Times New Roman" w:hAnsi="Times New Roman" w:cs="Times New Roman"/>
          <w:sz w:val="28"/>
          <w:szCs w:val="28"/>
        </w:rPr>
        <w:t>в зависимости от приоритетности различных видов водопользования с учетом заявленных потребностей в заборе воды для различных видов</w:t>
      </w:r>
      <w:r w:rsidRPr="003C0419">
        <w:rPr>
          <w:rFonts w:ascii="Times New Roman" w:hAnsi="Times New Roman" w:cs="Times New Roman"/>
          <w:sz w:val="28"/>
          <w:szCs w:val="28"/>
        </w:rPr>
        <w:t xml:space="preserve"> водопользования или фактических объемов водозабора </w:t>
      </w:r>
      <w:r w:rsidR="00550FDF">
        <w:rPr>
          <w:rFonts w:ascii="Times New Roman" w:hAnsi="Times New Roman" w:cs="Times New Roman"/>
          <w:sz w:val="28"/>
          <w:szCs w:val="28"/>
        </w:rPr>
        <w:t>объектами</w:t>
      </w:r>
      <w:r w:rsidRPr="003C0419">
        <w:rPr>
          <w:rFonts w:ascii="Times New Roman" w:hAnsi="Times New Roman" w:cs="Times New Roman"/>
          <w:sz w:val="28"/>
          <w:szCs w:val="28"/>
        </w:rPr>
        <w:t xml:space="preserve"> различных отраслей промышленности.</w:t>
      </w:r>
    </w:p>
    <w:p w:rsidR="00777FAA" w:rsidRPr="00FA16C9" w:rsidP="00430C5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Sect="00486CFF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6571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492C66" w:rsidRPr="00E60204">
        <w:pPr>
          <w:pStyle w:val="Footer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1B7A83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2A22"/>
    <w:multiLevelType w:val="hybridMultilevel"/>
    <w:tmpl w:val="67BABA9C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8136AC1"/>
    <w:multiLevelType w:val="hybridMultilevel"/>
    <w:tmpl w:val="C6D6B6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90" w:hanging="360"/>
      </w:pPr>
    </w:lvl>
    <w:lvl w:ilvl="2" w:tentative="1">
      <w:start w:val="1"/>
      <w:numFmt w:val="lowerRoman"/>
      <w:lvlText w:val="%3."/>
      <w:lvlJc w:val="right"/>
      <w:pPr>
        <w:ind w:left="2510" w:hanging="180"/>
      </w:pPr>
    </w:lvl>
    <w:lvl w:ilvl="3" w:tentative="1">
      <w:start w:val="1"/>
      <w:numFmt w:val="decimal"/>
      <w:lvlText w:val="%4."/>
      <w:lvlJc w:val="left"/>
      <w:pPr>
        <w:ind w:left="3230" w:hanging="360"/>
      </w:pPr>
    </w:lvl>
    <w:lvl w:ilvl="4" w:tentative="1">
      <w:start w:val="1"/>
      <w:numFmt w:val="lowerLetter"/>
      <w:lvlText w:val="%5."/>
      <w:lvlJc w:val="left"/>
      <w:pPr>
        <w:ind w:left="3950" w:hanging="360"/>
      </w:pPr>
    </w:lvl>
    <w:lvl w:ilvl="5" w:tentative="1">
      <w:start w:val="1"/>
      <w:numFmt w:val="lowerRoman"/>
      <w:lvlText w:val="%6."/>
      <w:lvlJc w:val="right"/>
      <w:pPr>
        <w:ind w:left="4670" w:hanging="180"/>
      </w:pPr>
    </w:lvl>
    <w:lvl w:ilvl="6" w:tentative="1">
      <w:start w:val="1"/>
      <w:numFmt w:val="decimal"/>
      <w:lvlText w:val="%7."/>
      <w:lvlJc w:val="left"/>
      <w:pPr>
        <w:ind w:left="5390" w:hanging="360"/>
      </w:pPr>
    </w:lvl>
    <w:lvl w:ilvl="7" w:tentative="1">
      <w:start w:val="1"/>
      <w:numFmt w:val="lowerLetter"/>
      <w:lvlText w:val="%8."/>
      <w:lvlJc w:val="left"/>
      <w:pPr>
        <w:ind w:left="6110" w:hanging="360"/>
      </w:pPr>
    </w:lvl>
    <w:lvl w:ilvl="8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2015973"/>
    <w:multiLevelType w:val="hybridMultilevel"/>
    <w:tmpl w:val="9E06EF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9823F9"/>
    <w:multiLevelType w:val="hybridMultilevel"/>
    <w:tmpl w:val="E42AC7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613D9D"/>
    <w:multiLevelType w:val="hybridMultilevel"/>
    <w:tmpl w:val="467A3070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05041E"/>
    <w:multiLevelType w:val="hybridMultilevel"/>
    <w:tmpl w:val="8798319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7A66A1"/>
    <w:multiLevelType w:val="hybridMultilevel"/>
    <w:tmpl w:val="C88C36C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40"/>
  <w:displayHorizontalDrawingGridEvery w:val="2"/>
  <w:characterSpacingControl w:val="doNotCompress"/>
  <w:compat/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20F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Heading2">
    <w:name w:val="heading 2"/>
    <w:basedOn w:val="Normal"/>
    <w:next w:val="Normal"/>
    <w:link w:val="21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Стиль2"/>
    <w:basedOn w:val="Header"/>
    <w:link w:val="20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Header">
    <w:name w:val="header"/>
    <w:basedOn w:val="Normal"/>
    <w:link w:val="a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EB1AF2"/>
  </w:style>
  <w:style w:type="character" w:customStyle="1" w:styleId="20">
    <w:name w:val="Стиль2 Знак"/>
    <w:basedOn w:val="a"/>
    <w:link w:val="2"/>
    <w:rsid w:val="00EB1AF2"/>
    <w:rPr>
      <w:rFonts w:ascii="Cambria" w:eastAsia="Times New Roman" w:hAnsi="Cambria" w:cs="Times New Roman"/>
      <w:sz w:val="24"/>
      <w:szCs w:val="24"/>
    </w:rPr>
  </w:style>
  <w:style w:type="paragraph" w:styleId="NoSpacing">
    <w:name w:val="No Spacing"/>
    <w:link w:val="a0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0">
    <w:name w:val="Без интервала Знак"/>
    <w:basedOn w:val="DefaultParagraphFont"/>
    <w:link w:val="NoSpacing"/>
    <w:uiPriority w:val="1"/>
    <w:rsid w:val="000E020F"/>
    <w:rPr>
      <w:rFonts w:ascii="Calibri" w:eastAsia="Times New Roman" w:hAnsi="Calibri" w:cs="Times New Roman"/>
    </w:rPr>
  </w:style>
  <w:style w:type="paragraph" w:styleId="Footer">
    <w:name w:val="footer"/>
    <w:basedOn w:val="Normal"/>
    <w:link w:val="a1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DocumentMap">
    <w:name w:val="Document Map"/>
    <w:basedOn w:val="Normal"/>
    <w:link w:val="a2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2">
    <w:name w:val="Схема документа Знак"/>
    <w:basedOn w:val="DefaultParagraphFont"/>
    <w:link w:val="DocumentMap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">
    <w:name w:val="Заголовок 1 Знак"/>
    <w:basedOn w:val="DefaultParagraphFont"/>
    <w:link w:val="Heading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F14622"/>
    <w:pPr>
      <w:ind w:left="720"/>
      <w:contextualSpacing/>
    </w:pPr>
  </w:style>
  <w:style w:type="paragraph" w:styleId="BodyTextIndent3">
    <w:name w:val="Body Text Indent 3"/>
    <w:basedOn w:val="Normal"/>
    <w:link w:val="3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DefaultParagraphFont"/>
    <w:link w:val="BodyTextIndent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Заголовок 2 Знак"/>
    <w:basedOn w:val="DefaultParagraphFont"/>
    <w:link w:val="Heading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BalloonText">
    <w:name w:val="Balloon Text"/>
    <w:basedOn w:val="Normal"/>
    <w:link w:val="a3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DefaultParagraphFont"/>
    <w:link w:val="BalloonText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TableGrid">
    <w:name w:val="Table Grid"/>
    <w:basedOn w:val="TableNormal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A6FE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FE0"/>
    <w:pPr>
      <w:spacing w:after="100"/>
      <w:ind w:left="280"/>
    </w:pPr>
  </w:style>
  <w:style w:type="character" w:styleId="Hyperlink">
    <w:name w:val="Hyperlink"/>
    <w:basedOn w:val="DefaultParagraphFont"/>
    <w:uiPriority w:val="99"/>
    <w:unhideWhenUsed/>
    <w:rsid w:val="005A6F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BodyText">
    <w:name w:val="Body Text"/>
    <w:basedOn w:val="Normal"/>
    <w:link w:val="a4"/>
    <w:uiPriority w:val="99"/>
    <w:semiHidden/>
    <w:unhideWhenUsed/>
    <w:rsid w:val="0043357D"/>
    <w:pPr>
      <w:spacing w:after="120"/>
    </w:pPr>
  </w:style>
  <w:style w:type="character" w:customStyle="1" w:styleId="a4">
    <w:name w:val="Основной текст Знак"/>
    <w:basedOn w:val="DefaultParagraphFont"/>
    <w:link w:val="BodyText"/>
    <w:uiPriority w:val="99"/>
    <w:semiHidden/>
    <w:rsid w:val="0043357D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CF87E29-FA10-4030-A4F3-F88EB5B3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2014-06-26T05:05:00Z</cp:lastPrinted>
  <dcterms:created xsi:type="dcterms:W3CDTF">2014-09-09T05:32:00Z</dcterms:created>
  <dcterms:modified xsi:type="dcterms:W3CDTF">2014-09-09T05:32:00Z</dcterms:modified>
</cp:coreProperties>
</file>