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E8" w:rsidRPr="00B22398" w:rsidRDefault="00013CE8" w:rsidP="00806680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161"/>
        <w:gridCol w:w="86"/>
      </w:tblGrid>
      <w:tr w:rsidR="00013CE8" w:rsidTr="00806680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A5101C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  <w:gridSpan w:val="2"/>
          </w:tcPr>
          <w:p w:rsidR="00013CE8" w:rsidRDefault="00013CE8" w:rsidP="00A5101C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013CE8" w:rsidTr="00806680">
        <w:trPr>
          <w:trHeight w:val="278"/>
        </w:trPr>
        <w:tc>
          <w:tcPr>
            <w:tcW w:w="10021" w:type="dxa"/>
            <w:gridSpan w:val="3"/>
          </w:tcPr>
          <w:p w:rsidR="00013CE8" w:rsidRDefault="00013CE8" w:rsidP="00A5101C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</w:t>
            </w:r>
          </w:p>
        </w:tc>
      </w:tr>
      <w:tr w:rsidR="00013CE8" w:rsidRPr="00E771B4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0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sz w:val="22"/>
                <w:szCs w:val="22"/>
              </w:rPr>
            </w:pPr>
            <w:r w:rsidRPr="00214E1E">
              <w:rPr>
                <w:sz w:val="22"/>
                <w:szCs w:val="22"/>
              </w:rPr>
              <w:t>о поступлении и расходовании средств избирательного фонда кандидата</w:t>
            </w:r>
            <w:r w:rsidR="00806680" w:rsidRPr="00806680">
              <w:rPr>
                <w:sz w:val="22"/>
                <w:szCs w:val="22"/>
              </w:rPr>
              <w:t xml:space="preserve"> на выборах </w:t>
            </w:r>
            <w:r w:rsidR="00B65898" w:rsidRPr="000F2764">
              <w:rPr>
                <w:sz w:val="22"/>
                <w:szCs w:val="22"/>
              </w:rPr>
              <w:t xml:space="preserve">в </w:t>
            </w:r>
            <w:r w:rsidR="00B65898">
              <w:rPr>
                <w:sz w:val="22"/>
                <w:szCs w:val="22"/>
              </w:rPr>
              <w:t>Дудинский городской  С</w:t>
            </w:r>
            <w:r w:rsidR="00B65898" w:rsidRPr="000F2764">
              <w:rPr>
                <w:sz w:val="22"/>
                <w:szCs w:val="22"/>
              </w:rPr>
              <w:t>овет депутатов четвертого созыва</w:t>
            </w:r>
          </w:p>
        </w:tc>
      </w:tr>
      <w:tr w:rsidR="00013CE8" w:rsidRPr="002C49B7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80"/>
        </w:trPr>
        <w:tc>
          <w:tcPr>
            <w:tcW w:w="9935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013CE8" w:rsidRPr="00286E17" w:rsidRDefault="00013CE8" w:rsidP="00A5101C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85"/>
        </w:trPr>
        <w:tc>
          <w:tcPr>
            <w:tcW w:w="9935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7264E" w:rsidP="0007264E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Людмила Николаевна</w:t>
            </w:r>
            <w:r w:rsidR="00806680">
              <w:rPr>
                <w:sz w:val="22"/>
                <w:szCs w:val="22"/>
              </w:rPr>
              <w:t xml:space="preserve">, </w:t>
            </w:r>
            <w:r w:rsidR="00B65898">
              <w:rPr>
                <w:sz w:val="22"/>
                <w:szCs w:val="22"/>
              </w:rPr>
              <w:t>Дудинский</w:t>
            </w:r>
            <w:r w:rsidR="00B65898" w:rsidRPr="000F2764">
              <w:rPr>
                <w:sz w:val="22"/>
                <w:szCs w:val="22"/>
              </w:rPr>
              <w:t xml:space="preserve"> одномандатный избирательный округ №</w:t>
            </w:r>
            <w:r>
              <w:rPr>
                <w:sz w:val="22"/>
                <w:szCs w:val="22"/>
              </w:rPr>
              <w:t>6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545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309"/>
        </w:trPr>
        <w:tc>
          <w:tcPr>
            <w:tcW w:w="9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5898" w:rsidRDefault="00B65898" w:rsidP="00B6589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0726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40810810731009408922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ДО № 8646</w:t>
            </w:r>
            <w:r w:rsidRPr="00316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0712 Красноярского отделения № 8646</w:t>
            </w:r>
          </w:p>
          <w:p w:rsidR="00013CE8" w:rsidRDefault="00B65898" w:rsidP="00B6589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ПАО Сбербанк</w:t>
            </w:r>
          </w:p>
        </w:tc>
      </w:tr>
      <w:tr w:rsidR="00013CE8" w:rsidTr="00806680">
        <w:tblPrEx>
          <w:tblCellMar>
            <w:left w:w="31" w:type="dxa"/>
            <w:right w:w="31" w:type="dxa"/>
          </w:tblCellMar>
        </w:tblPrEx>
        <w:trPr>
          <w:gridAfter w:val="1"/>
          <w:wAfter w:w="86" w:type="dxa"/>
          <w:trHeight w:val="218"/>
        </w:trPr>
        <w:tc>
          <w:tcPr>
            <w:tcW w:w="9935" w:type="dxa"/>
            <w:gridSpan w:val="2"/>
          </w:tcPr>
          <w:p w:rsidR="00013CE8" w:rsidRDefault="00013CE8" w:rsidP="00A5101C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013CE8" w:rsidRDefault="00013CE8" w:rsidP="00013CE8">
      <w:pPr>
        <w:pStyle w:val="ConsPlusNonformat"/>
        <w:widowControl/>
        <w:rPr>
          <w:rFonts w:ascii="Times New Roman" w:hAnsi="Times New Roman" w:cs="Times New Roman"/>
        </w:rPr>
      </w:pPr>
    </w:p>
    <w:p w:rsidR="00013CE8" w:rsidRPr="0050272D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bookmarkStart w:id="0" w:name="_GoBack"/>
      <w:bookmarkEnd w:id="0"/>
      <w:r w:rsidR="00F7179E">
        <w:rPr>
          <w:rFonts w:ascii="Times New Roman" w:hAnsi="Times New Roman" w:cs="Times New Roman"/>
          <w:b/>
        </w:rPr>
        <w:t>8</w:t>
      </w:r>
      <w:r w:rsidR="00806680">
        <w:rPr>
          <w:rFonts w:ascii="Times New Roman" w:hAnsi="Times New Roman" w:cs="Times New Roman"/>
          <w:b/>
        </w:rPr>
        <w:t>»</w:t>
      </w:r>
      <w:r w:rsidR="00F7179E">
        <w:rPr>
          <w:rFonts w:ascii="Times New Roman" w:hAnsi="Times New Roman" w:cs="Times New Roman"/>
          <w:b/>
        </w:rPr>
        <w:t xml:space="preserve"> октя</w:t>
      </w:r>
      <w:r w:rsidR="00806680">
        <w:rPr>
          <w:rFonts w:ascii="Times New Roman" w:hAnsi="Times New Roman" w:cs="Times New Roman"/>
          <w:b/>
        </w:rPr>
        <w:t xml:space="preserve">бря </w:t>
      </w:r>
      <w:r w:rsidRPr="0050272D">
        <w:rPr>
          <w:rFonts w:ascii="Times New Roman" w:hAnsi="Times New Roman" w:cs="Times New Roman"/>
        </w:rPr>
        <w:t>20</w:t>
      </w:r>
      <w:r w:rsidR="0080668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013CE8" w:rsidRPr="00A52171" w:rsidRDefault="00013CE8" w:rsidP="00013CE8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703" w:type="dxa"/>
        <w:tblInd w:w="-85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063"/>
      </w:tblGrid>
      <w:tr w:rsidR="00013CE8" w:rsidTr="00013CE8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B65898" w:rsidP="00A5101C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 в том числе                                               </w:t>
            </w:r>
          </w:p>
        </w:tc>
      </w:tr>
      <w:tr w:rsidR="00B6589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A5101C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Средства, выделенные кандидату   </w:t>
            </w:r>
            <w:r>
              <w:br/>
              <w:t>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600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Добровольные пожертвования  гражданина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400</w:t>
            </w:r>
            <w:r w:rsidR="00B65898">
              <w:t> </w:t>
            </w:r>
            <w:r>
              <w:t>000</w:t>
            </w:r>
            <w:r w:rsidR="00B65898">
              <w:t>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1A0649" w:rsidRDefault="00013CE8" w:rsidP="00A5101C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                                                    </w:t>
            </w:r>
          </w:p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Средства, выделенные кандидату выдвинувшим его избирательным  объединением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06680" w:rsidP="00A5101C">
            <w:pPr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Перечислено в доход местного бюджета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из них</w:t>
            </w:r>
          </w:p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Средств, поступивших с превышением предельного  размера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lastRenderedPageBreak/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06680" w:rsidP="00A5101C"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B65898" w:rsidTr="00013CE8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Pr="009449FB" w:rsidRDefault="00B65898" w:rsidP="00723B58">
            <w:pPr>
              <w:rPr>
                <w:b/>
              </w:rPr>
            </w:pPr>
            <w:r>
              <w:rPr>
                <w:b/>
              </w:rPr>
              <w:t>1000 000,00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898" w:rsidRDefault="00B65898" w:rsidP="00A5101C"/>
        </w:tc>
      </w:tr>
      <w:tr w:rsidR="00013CE8" w:rsidTr="00013CE8">
        <w:trPr>
          <w:cantSplit/>
          <w:trHeight w:val="12"/>
        </w:trPr>
        <w:tc>
          <w:tcPr>
            <w:tcW w:w="97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                  в том числе</w:t>
            </w:r>
          </w:p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B65898" w:rsidP="00831FC1">
            <w:pPr>
              <w:jc w:val="center"/>
            </w:pPr>
            <w:r>
              <w:t>2 850,00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E65BD7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>На выпуск и распространение печатных и иных агитационных  материалов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831FC1">
            <w:pPr>
              <w:jc w:val="center"/>
            </w:pPr>
            <w:r>
              <w:t>54 600,00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F7179E" w:rsidP="00831FC1">
            <w:pPr>
              <w:jc w:val="center"/>
            </w:pPr>
            <w:r>
              <w:t>942 550,00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831FC1" w:rsidP="00831FC1">
            <w:pPr>
              <w:jc w:val="center"/>
            </w:pPr>
            <w: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  <w:tr w:rsidR="00013CE8" w:rsidTr="00013CE8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013CE8" w:rsidRDefault="00013CE8" w:rsidP="00A5101C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Pr="009449FB" w:rsidRDefault="00831FC1" w:rsidP="00831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3CE8" w:rsidRDefault="00013CE8" w:rsidP="00A5101C"/>
        </w:tc>
      </w:tr>
    </w:tbl>
    <w:p w:rsidR="00013CE8" w:rsidRDefault="00013CE8" w:rsidP="00013C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13CE8" w:rsidRDefault="00013CE8" w:rsidP="00013CE8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013CE8" w:rsidRDefault="00013CE8" w:rsidP="00013CE8">
      <w:pPr>
        <w:pStyle w:val="ConsPlusNonformat"/>
        <w:widowControl/>
      </w:pPr>
    </w:p>
    <w:tbl>
      <w:tblPr>
        <w:tblW w:w="9900" w:type="dxa"/>
        <w:tblInd w:w="-691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013CE8" w:rsidTr="00831FC1">
        <w:trPr>
          <w:trHeight w:val="361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F7179E" w:rsidP="003C482A">
            <w:pPr>
              <w:pStyle w:val="ConsNormal"/>
              <w:jc w:val="right"/>
              <w:rPr>
                <w:sz w:val="20"/>
              </w:rPr>
            </w:pPr>
            <w:r>
              <w:rPr>
                <w:sz w:val="20"/>
              </w:rPr>
              <w:t>8.10</w:t>
            </w:r>
            <w:r w:rsidR="00177E33">
              <w:rPr>
                <w:sz w:val="20"/>
              </w:rPr>
              <w:t>.2018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CE8" w:rsidRDefault="00B6589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В.Н. Барабанова</w:t>
            </w:r>
          </w:p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</w:p>
        </w:tc>
      </w:tr>
      <w:tr w:rsidR="00013CE8" w:rsidTr="00831FC1">
        <w:trPr>
          <w:trHeight w:val="206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013CE8" w:rsidTr="00831FC1">
        <w:trPr>
          <w:trHeight w:val="443"/>
        </w:trPr>
        <w:tc>
          <w:tcPr>
            <w:tcW w:w="3960" w:type="dxa"/>
            <w:vAlign w:val="bottom"/>
          </w:tcPr>
          <w:p w:rsidR="00013CE8" w:rsidRDefault="00013CE8" w:rsidP="00A5101C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4"/>
              <w:t>***</w:t>
            </w: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013CE8" w:rsidTr="00831FC1">
        <w:trPr>
          <w:trHeight w:val="224"/>
        </w:trPr>
        <w:tc>
          <w:tcPr>
            <w:tcW w:w="39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72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013CE8" w:rsidRDefault="00013CE8" w:rsidP="00A5101C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013CE8" w:rsidRDefault="00013CE8" w:rsidP="00A5101C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9C68E8" w:rsidRDefault="009C68E8"/>
    <w:sectPr w:rsidR="009C68E8" w:rsidSect="00AF4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635" w:rsidRDefault="004E1635" w:rsidP="00013CE8">
      <w:r>
        <w:separator/>
      </w:r>
    </w:p>
  </w:endnote>
  <w:endnote w:type="continuationSeparator" w:id="1">
    <w:p w:rsidR="004E1635" w:rsidRDefault="004E1635" w:rsidP="0001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635" w:rsidRDefault="004E1635" w:rsidP="00013CE8">
      <w:r>
        <w:separator/>
      </w:r>
    </w:p>
  </w:footnote>
  <w:footnote w:type="continuationSeparator" w:id="1">
    <w:p w:rsidR="004E1635" w:rsidRDefault="004E1635" w:rsidP="00013CE8">
      <w:r>
        <w:continuationSeparator/>
      </w:r>
    </w:p>
  </w:footnote>
  <w:footnote w:id="2">
    <w:p w:rsidR="00013CE8" w:rsidRDefault="00013CE8" w:rsidP="00013CE8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3">
    <w:p w:rsidR="00013CE8" w:rsidRPr="005D1429" w:rsidRDefault="00013CE8" w:rsidP="00013CE8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013CE8" w:rsidRDefault="00013CE8" w:rsidP="00013CE8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013CE8" w:rsidRPr="005D1429" w:rsidRDefault="00013CE8" w:rsidP="00013CE8">
      <w:pPr>
        <w:jc w:val="both"/>
        <w:rPr>
          <w:bCs/>
          <w:sz w:val="18"/>
          <w:szCs w:val="18"/>
        </w:rPr>
      </w:pPr>
    </w:p>
  </w:footnote>
  <w:footnote w:id="4">
    <w:p w:rsidR="00013CE8" w:rsidRDefault="00013CE8" w:rsidP="00013CE8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68E8"/>
    <w:rsid w:val="00013CE8"/>
    <w:rsid w:val="0007264E"/>
    <w:rsid w:val="00177E33"/>
    <w:rsid w:val="003C482A"/>
    <w:rsid w:val="004E1635"/>
    <w:rsid w:val="00560221"/>
    <w:rsid w:val="00587D14"/>
    <w:rsid w:val="00604191"/>
    <w:rsid w:val="00806680"/>
    <w:rsid w:val="00831FC1"/>
    <w:rsid w:val="0097501F"/>
    <w:rsid w:val="009C68E8"/>
    <w:rsid w:val="00A32E31"/>
    <w:rsid w:val="00AD16EE"/>
    <w:rsid w:val="00AF4312"/>
    <w:rsid w:val="00B118E7"/>
    <w:rsid w:val="00B561F7"/>
    <w:rsid w:val="00B65898"/>
    <w:rsid w:val="00B8632C"/>
    <w:rsid w:val="00CD316C"/>
    <w:rsid w:val="00E65BD7"/>
    <w:rsid w:val="00F7179E"/>
    <w:rsid w:val="00FC1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CE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3CE8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CE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013C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13C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13CE8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013CE8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013CE8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013C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677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 коган</dc:creator>
  <cp:keywords/>
  <dc:description/>
  <cp:lastModifiedBy>part</cp:lastModifiedBy>
  <cp:revision>8</cp:revision>
  <cp:lastPrinted>2018-10-06T08:55:00Z</cp:lastPrinted>
  <dcterms:created xsi:type="dcterms:W3CDTF">2018-09-12T11:46:00Z</dcterms:created>
  <dcterms:modified xsi:type="dcterms:W3CDTF">2018-10-06T08:56:00Z</dcterms:modified>
</cp:coreProperties>
</file>