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1" w:type="dxa"/>
        <w:tblLook w:val="0000"/>
      </w:tblPr>
      <w:tblGrid>
        <w:gridCol w:w="4774"/>
        <w:gridCol w:w="5247"/>
      </w:tblGrid>
      <w:tr w:rsidR="00D92E6B" w:rsidRPr="00D92E6B" w:rsidTr="00C921FA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1D6F7E" w:rsidRDefault="001D6F7E" w:rsidP="00D92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ИТОГОВЫЙ</w:t>
            </w:r>
          </w:p>
        </w:tc>
        <w:tc>
          <w:tcPr>
            <w:tcW w:w="5247" w:type="dxa"/>
          </w:tcPr>
          <w:p w:rsidR="00D92E6B" w:rsidRPr="00D92E6B" w:rsidRDefault="00D92E6B" w:rsidP="00D92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ФИНАНСОВЫЙ ОТЧЕТ</w:t>
            </w:r>
          </w:p>
        </w:tc>
      </w:tr>
      <w:tr w:rsidR="00D92E6B" w:rsidRPr="00D92E6B" w:rsidTr="00C921FA">
        <w:trPr>
          <w:trHeight w:val="278"/>
        </w:trPr>
        <w:tc>
          <w:tcPr>
            <w:tcW w:w="10021" w:type="dxa"/>
            <w:gridSpan w:val="2"/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2E6B">
        <w:rPr>
          <w:rFonts w:ascii="Times New Roman" w:eastAsia="Times New Roman" w:hAnsi="Times New Roman" w:cs="Times New Roman"/>
          <w:b/>
          <w:lang w:eastAsia="ru-RU"/>
        </w:rPr>
        <w:t xml:space="preserve">о поступлении и расходовании средств избирательного фонда кандидата, </w:t>
      </w:r>
    </w:p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2E6B">
        <w:rPr>
          <w:rFonts w:ascii="Times New Roman" w:eastAsia="Times New Roman" w:hAnsi="Times New Roman" w:cs="Times New Roman"/>
          <w:b/>
          <w:lang w:eastAsia="ru-RU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D92E6B" w:rsidRPr="00D92E6B" w:rsidTr="00C921FA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D92E6B" w:rsidRDefault="00091F42" w:rsidP="00091F42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Дополнительные в</w:t>
            </w:r>
            <w:r w:rsidR="00D92E6B" w:rsidRPr="00D92E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ыборы депутатов Законодательного Собрания Красноярского края  третьего </w:t>
            </w:r>
            <w:r w:rsidR="00D92E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созыва </w:t>
            </w:r>
          </w:p>
        </w:tc>
      </w:tr>
      <w:tr w:rsidR="00D92E6B" w:rsidRPr="00D92E6B" w:rsidTr="00C921FA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D92E6B" w:rsidRPr="00D92E6B" w:rsidRDefault="00D92E6B" w:rsidP="00D92E6B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(наименование избирательной кампании)</w:t>
            </w:r>
          </w:p>
        </w:tc>
      </w:tr>
      <w:tr w:rsidR="00D92E6B" w:rsidRPr="00D92E6B" w:rsidTr="00C921FA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D92E6B" w:rsidRPr="00D92E6B" w:rsidRDefault="0097481A" w:rsidP="006D0A28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Травницкий Роман Александрович</w:t>
            </w:r>
            <w:r w:rsidR="003144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974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Таймырский двухмандатный избирательный округ № 23</w:t>
            </w:r>
          </w:p>
        </w:tc>
      </w:tr>
      <w:tr w:rsidR="00D92E6B" w:rsidRPr="00D92E6B" w:rsidTr="00C921FA">
        <w:trPr>
          <w:trHeight w:val="545"/>
        </w:trPr>
        <w:tc>
          <w:tcPr>
            <w:tcW w:w="9935" w:type="dxa"/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кандидата, наименование и номер избирательного округа / наименование избирательного объединения)</w:t>
            </w:r>
          </w:p>
        </w:tc>
      </w:tr>
      <w:tr w:rsidR="00D92E6B" w:rsidRPr="00D92E6B" w:rsidTr="00C921FA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D92E6B" w:rsidRDefault="00DD11B7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№40810810</w:t>
            </w:r>
            <w:r w:rsidRPr="00945B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031009408651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 филиал Красноярского отделения 8646 ПАО СБЕРБАНК, структурное подразделение</w:t>
            </w:r>
            <w:r w:rsidRPr="00945B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дополнительный офис №8646/0712, г. Дудинка, ул. Островского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д.5 пом.65</w:t>
            </w:r>
          </w:p>
        </w:tc>
      </w:tr>
      <w:tr w:rsidR="00D92E6B" w:rsidRPr="00D92E6B" w:rsidTr="00C921FA">
        <w:trPr>
          <w:trHeight w:val="218"/>
        </w:trPr>
        <w:tc>
          <w:tcPr>
            <w:tcW w:w="9935" w:type="dxa"/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наименование и адрес филиала кредитной организации)</w:t>
            </w:r>
          </w:p>
        </w:tc>
      </w:tr>
    </w:tbl>
    <w:p w:rsidR="00D92E6B" w:rsidRDefault="00D92E6B" w:rsidP="00D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592F" w:rsidRPr="0050272D" w:rsidRDefault="0023592F" w:rsidP="0023592F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20»сентября </w:t>
      </w:r>
      <w:r w:rsidRPr="0050272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23592F" w:rsidRPr="00D92E6B" w:rsidRDefault="0023592F" w:rsidP="00D92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D92E6B" w:rsidRPr="00D92E6B" w:rsidTr="00C921FA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92E6B" w:rsidRPr="00D92E6B" w:rsidTr="00C921FA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D11B7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D92E6B"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в том числе                                               </w:t>
            </w: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D11B7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92E6B"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кандидата/ 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D11B7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92E6B"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  </w:t>
            </w: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в избирательный фонд денежных средств, подпадающих под действие  п.2,  п.4 ст.41 Уставного закона Красноярского края от 21.04.2016 г. № 10-4435 и п. 6ст. 58 Федерального Закона от 12.06.2002 г. № 67-ФЗ </w:t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Перечислено в доход 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</w:t>
            </w: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D11B7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  <w:r w:rsidR="00D92E6B"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работ (услуг) </w:t>
            </w:r>
            <w:proofErr w:type="gramStart"/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</w:t>
            </w:r>
            <w:proofErr w:type="gramEnd"/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</w:p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консультационного характера</w:t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sym w:font="Symbol" w:char="F02A"/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D11B7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92E6B"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E6B" w:rsidRPr="00D92E6B" w:rsidTr="00C921FA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(стр.300=стр.10-стр.120-стр.190-стр.290)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E6B" w:rsidRPr="00D92E6B" w:rsidRDefault="00D92E6B" w:rsidP="00D92E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E6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 кампании не привлекалось.</w:t>
      </w:r>
    </w:p>
    <w:p w:rsidR="00D92E6B" w:rsidRPr="00D92E6B" w:rsidRDefault="00D92E6B" w:rsidP="00D92E6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026" w:type="dxa"/>
        <w:tblLayout w:type="fixed"/>
        <w:tblLook w:val="0000"/>
      </w:tblPr>
      <w:tblGrid>
        <w:gridCol w:w="4010"/>
        <w:gridCol w:w="729"/>
        <w:gridCol w:w="2917"/>
        <w:gridCol w:w="365"/>
        <w:gridCol w:w="2005"/>
      </w:tblGrid>
      <w:tr w:rsidR="00D92E6B" w:rsidRPr="00D92E6B" w:rsidTr="00C921FA">
        <w:trPr>
          <w:trHeight w:val="224"/>
        </w:trPr>
        <w:tc>
          <w:tcPr>
            <w:tcW w:w="4010" w:type="dxa"/>
            <w:vAlign w:val="bottom"/>
          </w:tcPr>
          <w:p w:rsidR="00D92E6B" w:rsidRPr="00D92E6B" w:rsidRDefault="00711D33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</w:t>
            </w:r>
          </w:p>
        </w:tc>
        <w:tc>
          <w:tcPr>
            <w:tcW w:w="729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Default="00C14554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20.09.2018</w:t>
            </w:r>
          </w:p>
          <w:p w:rsidR="00C14554" w:rsidRPr="00D92E6B" w:rsidRDefault="00C14554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2E6B" w:rsidRPr="00F22823" w:rsidRDefault="0097481A" w:rsidP="0031440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Р.А. Травницкий</w:t>
            </w:r>
          </w:p>
        </w:tc>
      </w:tr>
      <w:tr w:rsidR="00D92E6B" w:rsidRPr="00D92E6B" w:rsidTr="00C921FA">
        <w:trPr>
          <w:trHeight w:val="137"/>
        </w:trPr>
        <w:tc>
          <w:tcPr>
            <w:tcW w:w="4739" w:type="dxa"/>
            <w:gridSpan w:val="2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D92E6B" w:rsidRPr="00D92E6B" w:rsidTr="00C921FA">
        <w:trPr>
          <w:trHeight w:val="224"/>
        </w:trPr>
        <w:tc>
          <w:tcPr>
            <w:tcW w:w="4739" w:type="dxa"/>
            <w:gridSpan w:val="2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left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2E6B" w:rsidRPr="00D92E6B" w:rsidTr="00C921FA">
        <w:trPr>
          <w:trHeight w:val="443"/>
        </w:trPr>
        <w:tc>
          <w:tcPr>
            <w:tcW w:w="4010" w:type="dxa"/>
            <w:vAlign w:val="bottom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окружной избирательной комиссии </w:t>
            </w:r>
            <w:r w:rsidRPr="00D92E6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customMarkFollows="1" w:id="3"/>
              <w:t>***</w:t>
            </w:r>
          </w:p>
        </w:tc>
        <w:tc>
          <w:tcPr>
            <w:tcW w:w="729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2E6B" w:rsidRPr="00D92E6B" w:rsidTr="00C921FA">
        <w:trPr>
          <w:trHeight w:val="224"/>
        </w:trPr>
        <w:tc>
          <w:tcPr>
            <w:tcW w:w="4010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9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5" w:type="dxa"/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E6B" w:rsidRPr="00D92E6B" w:rsidRDefault="00D92E6B" w:rsidP="00D92E6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2E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(инициалы, фамилия)</w:t>
            </w:r>
          </w:p>
        </w:tc>
      </w:tr>
    </w:tbl>
    <w:p w:rsidR="00820AA1" w:rsidRDefault="00820AA1"/>
    <w:sectPr w:rsidR="00820AA1" w:rsidSect="0002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E9" w:rsidRDefault="00AE24E9" w:rsidP="00D92E6B">
      <w:pPr>
        <w:spacing w:after="0" w:line="240" w:lineRule="auto"/>
      </w:pPr>
      <w:r>
        <w:separator/>
      </w:r>
    </w:p>
  </w:endnote>
  <w:endnote w:type="continuationSeparator" w:id="0">
    <w:p w:rsidR="00AE24E9" w:rsidRDefault="00AE24E9" w:rsidP="00D9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E9" w:rsidRDefault="00AE24E9" w:rsidP="00D92E6B">
      <w:pPr>
        <w:spacing w:after="0" w:line="240" w:lineRule="auto"/>
      </w:pPr>
      <w:r>
        <w:separator/>
      </w:r>
    </w:p>
  </w:footnote>
  <w:footnote w:type="continuationSeparator" w:id="0">
    <w:p w:rsidR="00AE24E9" w:rsidRDefault="00AE24E9" w:rsidP="00D92E6B">
      <w:pPr>
        <w:spacing w:after="0" w:line="240" w:lineRule="auto"/>
      </w:pPr>
      <w:r>
        <w:continuationSeparator/>
      </w:r>
    </w:p>
  </w:footnote>
  <w:footnote w:id="1">
    <w:p w:rsidR="00D92E6B" w:rsidRDefault="00D92E6B" w:rsidP="00D92E6B">
      <w:pPr>
        <w:pStyle w:val="a3"/>
        <w:rPr>
          <w:sz w:val="18"/>
        </w:rPr>
      </w:pPr>
      <w:r>
        <w:rPr>
          <w:rStyle w:val="a5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D92E6B" w:rsidRPr="005D1429" w:rsidRDefault="00D92E6B" w:rsidP="00D92E6B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D92E6B" w:rsidRDefault="00D92E6B" w:rsidP="00D92E6B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D92E6B" w:rsidRPr="005D1429" w:rsidRDefault="00D92E6B" w:rsidP="00D92E6B">
      <w:pPr>
        <w:jc w:val="both"/>
        <w:rPr>
          <w:bCs/>
          <w:sz w:val="18"/>
          <w:szCs w:val="18"/>
        </w:rPr>
      </w:pPr>
    </w:p>
  </w:footnote>
  <w:footnote w:id="3">
    <w:p w:rsidR="00D92E6B" w:rsidRDefault="00D92E6B" w:rsidP="00D92E6B">
      <w:pPr>
        <w:pStyle w:val="a3"/>
        <w:rPr>
          <w:sz w:val="18"/>
        </w:rPr>
      </w:pPr>
      <w:r>
        <w:rPr>
          <w:rStyle w:val="a5"/>
        </w:rPr>
        <w:t>***</w:t>
      </w:r>
      <w:r>
        <w:rPr>
          <w:sz w:val="18"/>
        </w:rPr>
        <w:t> 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E6B"/>
    <w:rsid w:val="00021139"/>
    <w:rsid w:val="0007775F"/>
    <w:rsid w:val="00091F42"/>
    <w:rsid w:val="0011362C"/>
    <w:rsid w:val="00134D69"/>
    <w:rsid w:val="001D6F7E"/>
    <w:rsid w:val="0023592F"/>
    <w:rsid w:val="00270B9B"/>
    <w:rsid w:val="002F17DA"/>
    <w:rsid w:val="0031440E"/>
    <w:rsid w:val="00404B0C"/>
    <w:rsid w:val="004D3F11"/>
    <w:rsid w:val="006068E4"/>
    <w:rsid w:val="006A3D24"/>
    <w:rsid w:val="006D0A28"/>
    <w:rsid w:val="006E7B21"/>
    <w:rsid w:val="00711D33"/>
    <w:rsid w:val="00820AA1"/>
    <w:rsid w:val="00844B29"/>
    <w:rsid w:val="00863265"/>
    <w:rsid w:val="0097481A"/>
    <w:rsid w:val="0099611D"/>
    <w:rsid w:val="00AD52B6"/>
    <w:rsid w:val="00AE24E9"/>
    <w:rsid w:val="00B2784A"/>
    <w:rsid w:val="00C14554"/>
    <w:rsid w:val="00C3758C"/>
    <w:rsid w:val="00C94ECB"/>
    <w:rsid w:val="00CC3A7C"/>
    <w:rsid w:val="00D1708B"/>
    <w:rsid w:val="00D47EB7"/>
    <w:rsid w:val="00D92E6B"/>
    <w:rsid w:val="00DD11B7"/>
    <w:rsid w:val="00E37422"/>
    <w:rsid w:val="00F22823"/>
    <w:rsid w:val="00F8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92E6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92E6B"/>
    <w:rPr>
      <w:sz w:val="20"/>
      <w:szCs w:val="20"/>
    </w:rPr>
  </w:style>
  <w:style w:type="character" w:styleId="a5">
    <w:name w:val="footnote reference"/>
    <w:basedOn w:val="a0"/>
    <w:semiHidden/>
    <w:rsid w:val="00D92E6B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styleId="a6">
    <w:name w:val="List Paragraph"/>
    <w:basedOn w:val="a"/>
    <w:uiPriority w:val="34"/>
    <w:qFormat/>
    <w:rsid w:val="006D0A28"/>
    <w:pPr>
      <w:ind w:left="720"/>
      <w:contextualSpacing/>
    </w:pPr>
  </w:style>
  <w:style w:type="paragraph" w:customStyle="1" w:styleId="ConsPlusNonformat">
    <w:name w:val="ConsPlusNonformat"/>
    <w:rsid w:val="002359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SHARED</cp:lastModifiedBy>
  <cp:revision>3</cp:revision>
  <dcterms:created xsi:type="dcterms:W3CDTF">2018-09-19T04:56:00Z</dcterms:created>
  <dcterms:modified xsi:type="dcterms:W3CDTF">2018-09-20T13:28:00Z</dcterms:modified>
</cp:coreProperties>
</file>