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161"/>
        <w:gridCol w:w="86"/>
      </w:tblGrid>
      <w:tr w:rsidR="00013CE8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7179E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806680">
        <w:trPr>
          <w:trHeight w:val="278"/>
        </w:trPr>
        <w:tc>
          <w:tcPr>
            <w:tcW w:w="10021" w:type="dxa"/>
            <w:gridSpan w:val="3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B65898">
              <w:rPr>
                <w:sz w:val="22"/>
                <w:szCs w:val="22"/>
              </w:rPr>
              <w:t>Дудинский городской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3CE8" w:rsidRDefault="00C035E7" w:rsidP="00C035E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Чечёткин Антон Александрович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>
              <w:rPr>
                <w:sz w:val="22"/>
                <w:szCs w:val="22"/>
              </w:rPr>
              <w:t>15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898" w:rsidRDefault="00B65898" w:rsidP="00B658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C03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40810810231009408820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:rsidR="00013CE8" w:rsidRDefault="00B65898" w:rsidP="00B6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bookmarkStart w:id="0" w:name="_GoBack"/>
      <w:bookmarkEnd w:id="0"/>
      <w:r w:rsidR="00C035E7">
        <w:rPr>
          <w:rFonts w:ascii="Times New Roman" w:hAnsi="Times New Roman" w:cs="Times New Roman"/>
          <w:b/>
        </w:rPr>
        <w:t>9</w:t>
      </w:r>
      <w:r w:rsidR="00806680">
        <w:rPr>
          <w:rFonts w:ascii="Times New Roman" w:hAnsi="Times New Roman" w:cs="Times New Roman"/>
          <w:b/>
        </w:rPr>
        <w:t>»</w:t>
      </w:r>
      <w:r w:rsidR="00F7179E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A5101C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</w:t>
            </w:r>
          </w:p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B6589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831FC1">
            <w:pPr>
              <w:jc w:val="center"/>
            </w:pPr>
            <w:r>
              <w:t>2 850,00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C035E7" w:rsidP="00831FC1">
            <w:pPr>
              <w:jc w:val="center"/>
            </w:pPr>
            <w:r>
              <w:t>60</w:t>
            </w:r>
            <w:r w:rsidR="00F7179E">
              <w:t> 600,00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7179E" w:rsidP="00C035E7">
            <w:pPr>
              <w:jc w:val="center"/>
            </w:pPr>
            <w:r>
              <w:t>9</w:t>
            </w:r>
            <w:r w:rsidR="00F67B00">
              <w:t>3</w:t>
            </w:r>
            <w:r w:rsidR="00C035E7">
              <w:t>6</w:t>
            </w:r>
            <w:r>
              <w:t> 550,00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-691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831FC1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C035E7" w:rsidP="003C482A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F7179E">
              <w:rPr>
                <w:sz w:val="20"/>
              </w:rPr>
              <w:t>.10</w:t>
            </w:r>
            <w:r w:rsidR="00177E33">
              <w:rPr>
                <w:sz w:val="20"/>
              </w:rPr>
              <w:t>.2018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B6589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В.Н. Барабанова</w:t>
            </w: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831FC1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831FC1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831FC1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75A" w:rsidRDefault="00CC775A" w:rsidP="00013CE8">
      <w:r>
        <w:separator/>
      </w:r>
    </w:p>
  </w:endnote>
  <w:endnote w:type="continuationSeparator" w:id="1">
    <w:p w:rsidR="00CC775A" w:rsidRDefault="00CC775A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75A" w:rsidRDefault="00CC775A" w:rsidP="00013CE8">
      <w:r>
        <w:separator/>
      </w:r>
    </w:p>
  </w:footnote>
  <w:footnote w:type="continuationSeparator" w:id="1">
    <w:p w:rsidR="00CC775A" w:rsidRDefault="00CC775A" w:rsidP="00013CE8">
      <w:r>
        <w:continuationSeparator/>
      </w:r>
    </w:p>
  </w:footnote>
  <w:footnote w:id="2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4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E8"/>
    <w:rsid w:val="00013CE8"/>
    <w:rsid w:val="00177E33"/>
    <w:rsid w:val="00376E26"/>
    <w:rsid w:val="003C482A"/>
    <w:rsid w:val="004375D4"/>
    <w:rsid w:val="00560221"/>
    <w:rsid w:val="00587D14"/>
    <w:rsid w:val="00604191"/>
    <w:rsid w:val="00806680"/>
    <w:rsid w:val="00831FC1"/>
    <w:rsid w:val="009C68E8"/>
    <w:rsid w:val="00A32E31"/>
    <w:rsid w:val="00AD16EE"/>
    <w:rsid w:val="00AF4312"/>
    <w:rsid w:val="00B118E7"/>
    <w:rsid w:val="00B561F7"/>
    <w:rsid w:val="00B65898"/>
    <w:rsid w:val="00B8632C"/>
    <w:rsid w:val="00C035E7"/>
    <w:rsid w:val="00CA076A"/>
    <w:rsid w:val="00CC775A"/>
    <w:rsid w:val="00CD316C"/>
    <w:rsid w:val="00E65BD7"/>
    <w:rsid w:val="00F67B00"/>
    <w:rsid w:val="00F7179E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part</cp:lastModifiedBy>
  <cp:revision>9</cp:revision>
  <cp:lastPrinted>2018-10-10T03:59:00Z</cp:lastPrinted>
  <dcterms:created xsi:type="dcterms:W3CDTF">2018-09-12T11:46:00Z</dcterms:created>
  <dcterms:modified xsi:type="dcterms:W3CDTF">2018-10-10T03:59:00Z</dcterms:modified>
</cp:coreProperties>
</file>